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FCEE8" w14:textId="77777777" w:rsidR="00504D7A" w:rsidRDefault="00504D7A" w:rsidP="00504D7A">
      <w:bookmarkStart w:id="0" w:name="OLE_LINK5"/>
      <w:bookmarkStart w:id="1" w:name="OLE_LINK6"/>
    </w:p>
    <w:p w14:paraId="14E16570" w14:textId="77777777" w:rsidR="00504D7A" w:rsidRDefault="00504D7A" w:rsidP="00504D7A"/>
    <w:p w14:paraId="25FD3449" w14:textId="77777777" w:rsidR="00504D7A" w:rsidRDefault="00504D7A" w:rsidP="00504D7A"/>
    <w:p w14:paraId="7DCB89A4" w14:textId="77777777" w:rsidR="00A52D00" w:rsidRPr="009B4354" w:rsidRDefault="009B4354" w:rsidP="001F5A63">
      <w:pPr>
        <w:pStyle w:val="FrsttsbladRubrik1"/>
      </w:pPr>
      <w:r w:rsidRPr="009B4354">
        <w:t>Kongress 2024</w:t>
      </w:r>
    </w:p>
    <w:p w14:paraId="046C5078" w14:textId="77777777" w:rsidR="00251D5F" w:rsidRDefault="00251D5F" w:rsidP="004A71FF">
      <w:pPr>
        <w:rPr>
          <w:b/>
        </w:rPr>
      </w:pPr>
    </w:p>
    <w:p w14:paraId="4A57B0AF" w14:textId="77777777" w:rsidR="006958C6" w:rsidRPr="008770B8" w:rsidRDefault="00000000" w:rsidP="004A71FF">
      <w:pPr>
        <w:rPr>
          <w:b/>
        </w:rPr>
      </w:pPr>
      <w:r>
        <w:rPr>
          <w:b/>
        </w:rPr>
        <w:pict w14:anchorId="69232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2122000B" w14:textId="77777777" w:rsidR="00251D5F" w:rsidRDefault="00251D5F" w:rsidP="004A71FF">
      <w:pPr>
        <w:rPr>
          <w:b/>
          <w:sz w:val="48"/>
        </w:rPr>
      </w:pPr>
    </w:p>
    <w:p w14:paraId="30687100" w14:textId="77777777" w:rsidR="009B4354" w:rsidRDefault="009B4354" w:rsidP="009B4354">
      <w:pPr>
        <w:jc w:val="center"/>
        <w:rPr>
          <w:rFonts w:asciiTheme="minorHAnsi" w:hAnsiTheme="minorHAnsi" w:cstheme="minorHAnsi"/>
          <w:sz w:val="72"/>
          <w:szCs w:val="72"/>
        </w:rPr>
      </w:pPr>
    </w:p>
    <w:p w14:paraId="31C3E006" w14:textId="56E5A9C3" w:rsidR="006958C6" w:rsidRPr="003C48ED" w:rsidRDefault="003F77B8" w:rsidP="001118EE">
      <w:pPr>
        <w:pStyle w:val="Frsttsbladrubrik2paragraf"/>
      </w:pPr>
      <w:r w:rsidRPr="003C48ED">
        <w:t>§</w:t>
      </w:r>
      <w:r w:rsidR="009B4354" w:rsidRPr="003C48ED">
        <w:t xml:space="preserve"> </w:t>
      </w:r>
      <w:r w:rsidR="006B6B2E">
        <w:t>22</w:t>
      </w:r>
    </w:p>
    <w:p w14:paraId="4276038C" w14:textId="77777777" w:rsidR="009B4354" w:rsidRPr="003C48ED" w:rsidRDefault="009B4354" w:rsidP="009B4354">
      <w:pPr>
        <w:jc w:val="center"/>
        <w:rPr>
          <w:rFonts w:ascii="Solitas Norm Regular" w:hAnsi="Solitas Norm Regular" w:cstheme="minorHAnsi"/>
          <w:sz w:val="72"/>
          <w:szCs w:val="72"/>
        </w:rPr>
      </w:pPr>
    </w:p>
    <w:p w14:paraId="4472E2A2" w14:textId="77777777" w:rsidR="003C48ED" w:rsidRPr="003C48ED" w:rsidRDefault="003C48ED" w:rsidP="009B4354">
      <w:pPr>
        <w:jc w:val="center"/>
        <w:rPr>
          <w:rFonts w:ascii="Solitas Norm Regular" w:hAnsi="Solitas Norm Regular" w:cstheme="minorHAnsi"/>
          <w:sz w:val="72"/>
          <w:szCs w:val="72"/>
        </w:rPr>
      </w:pPr>
    </w:p>
    <w:p w14:paraId="066D335A" w14:textId="4CA8852E" w:rsidR="009B4354" w:rsidRDefault="006B6B2E" w:rsidP="0023104D">
      <w:pPr>
        <w:pStyle w:val="Frsttsbladrubrik3"/>
      </w:pPr>
      <w:r>
        <w:t>Öppet brev #</w:t>
      </w:r>
      <w:r w:rsidR="004F643B">
        <w:t>2</w:t>
      </w:r>
    </w:p>
    <w:p w14:paraId="003E63BF" w14:textId="29E88498" w:rsidR="006B6B2E" w:rsidRPr="003C48ED" w:rsidRDefault="004F643B" w:rsidP="0023104D">
      <w:pPr>
        <w:pStyle w:val="Frsttsbladrubrik3"/>
      </w:pPr>
      <w:r>
        <w:t>Låt punktskriften leva</w:t>
      </w:r>
    </w:p>
    <w:p w14:paraId="2657B6A6" w14:textId="77777777" w:rsidR="00E1729E" w:rsidRDefault="00E1729E" w:rsidP="00D502E1">
      <w:pPr>
        <w:jc w:val="right"/>
        <w:rPr>
          <w:rFonts w:ascii="Solitas Norm Regular" w:hAnsi="Solitas Norm Regular" w:cstheme="minorHAnsi"/>
          <w:sz w:val="32"/>
        </w:rPr>
      </w:pPr>
    </w:p>
    <w:p w14:paraId="0E06C591" w14:textId="77777777" w:rsidR="001330B0" w:rsidRPr="003C48ED" w:rsidRDefault="001330B0" w:rsidP="00D502E1">
      <w:pPr>
        <w:jc w:val="right"/>
        <w:rPr>
          <w:rFonts w:ascii="Solitas Norm Regular" w:hAnsi="Solitas Norm Regular" w:cstheme="minorHAnsi"/>
          <w:sz w:val="32"/>
        </w:rPr>
      </w:pPr>
    </w:p>
    <w:bookmarkEnd w:id="0"/>
    <w:bookmarkEnd w:id="1"/>
    <w:p w14:paraId="34D5F530"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F2BFE0B" w14:textId="77777777" w:rsidR="00251D5F" w:rsidRPr="001330B0" w:rsidRDefault="00251D5F" w:rsidP="001330B0"/>
    <w:p w14:paraId="25BDAA0A" w14:textId="77777777" w:rsidR="00DD5881" w:rsidRDefault="00DD5881">
      <w:pPr>
        <w:rPr>
          <w:b/>
          <w:bCs/>
          <w:sz w:val="36"/>
        </w:rPr>
      </w:pPr>
      <w:r>
        <w:br w:type="page"/>
      </w:r>
    </w:p>
    <w:p w14:paraId="54C3AA7C" w14:textId="77777777" w:rsidR="00CE1707" w:rsidRPr="003954CC" w:rsidRDefault="00CE1707" w:rsidP="00CE1707">
      <w:r w:rsidRPr="003954CC">
        <w:lastRenderedPageBreak/>
        <w:t>Öppet brev till partiledarna för de åtta riksdagspartierna</w:t>
      </w:r>
    </w:p>
    <w:p w14:paraId="71704603" w14:textId="77777777" w:rsidR="00CE1707" w:rsidRPr="003954CC" w:rsidRDefault="00CE1707" w:rsidP="00CE1707"/>
    <w:p w14:paraId="7B3AE1AA" w14:textId="77777777" w:rsidR="00CE1707" w:rsidRPr="00EA0013" w:rsidRDefault="00CE1707" w:rsidP="00CE1707">
      <w:pPr>
        <w:pStyle w:val="Rubrik1"/>
      </w:pPr>
      <w:r w:rsidRPr="00EA0013">
        <w:t>Låt punktskriften leva! - Ett initiativ i sex punkter</w:t>
      </w:r>
    </w:p>
    <w:p w14:paraId="1CF02B46" w14:textId="77777777" w:rsidR="00CE1707" w:rsidRDefault="00CE1707" w:rsidP="00CE1707"/>
    <w:p w14:paraId="44B8E14A" w14:textId="77777777" w:rsidR="00CE1707" w:rsidRPr="003954CC" w:rsidRDefault="00CE1707" w:rsidP="00CE1707">
      <w:r w:rsidRPr="003954CC">
        <w:t>Synskadades Riksförbund, SRF, uppmanar alla partier i Sveriges riksdag att ta initiativ till att främja användningen av punktskrift och stimulera innovationer för att utveckla dess potential.</w:t>
      </w:r>
    </w:p>
    <w:p w14:paraId="03A7AAF4" w14:textId="77777777" w:rsidR="00CE1707" w:rsidRPr="003954CC" w:rsidRDefault="00CE1707" w:rsidP="00CE1707"/>
    <w:p w14:paraId="525608AA" w14:textId="77777777" w:rsidR="00CE1707" w:rsidRPr="003954CC" w:rsidRDefault="00CE1707" w:rsidP="00CE1707">
      <w:r w:rsidRPr="003954CC">
        <w:t>År 2025 är det 200 år sedan fransmannen Louis Braille uppfann punktskriften, som internationellt bär hans namn. Sedan dess har den öppnat nya världar och oanade möjligheter för synskadade över hela jorden. Den ger en närkontakt med det skrivna ordet för personer som är blinda eller har en grav synnedsättning</w:t>
      </w:r>
      <w:r>
        <w:t>. För oss är den lika självklar som det är för seende att läsa med ögonen</w:t>
      </w:r>
      <w:r w:rsidRPr="003954CC">
        <w:t>. Konkret betyder det bättre förutsättningar att utbilda sig, skaffa ett arbete och få vardagen att fungera.</w:t>
      </w:r>
    </w:p>
    <w:p w14:paraId="49973A2C" w14:textId="77777777" w:rsidR="00CE1707" w:rsidRPr="003954CC" w:rsidRDefault="00CE1707" w:rsidP="00CE1707"/>
    <w:p w14:paraId="499F90B6" w14:textId="77777777" w:rsidR="00CE1707" w:rsidRPr="003954CC" w:rsidRDefault="00CE1707" w:rsidP="00CE1707">
      <w:r w:rsidRPr="003954CC">
        <w:t>Allt fler talar om hur viktigt det är att få lära sig skriva och läsa från grunden och utveckla språket. Det gäller givetvis även för personer som inte ser. Många tror tyvärr att talböcker, datorer och smarta mobiler med skärmläsarprogram gör att punktskriften har spelat ut sin roll. Det är hög tid att avliva den myten. Det går till och med att skriva med punktskrift på en mobiltelefon eller surfplatta. Den digitala tekniken har inte gjort punktskriften överflödig utan ger tvärtom nya möjligheter att använda den. Så fler med synnedsättning måste få chansen att lära sig och utveckla sin användning av Brailles banbrytande uppfinning.</w:t>
      </w:r>
    </w:p>
    <w:p w14:paraId="097F7115" w14:textId="77777777" w:rsidR="00CE1707" w:rsidRPr="003954CC" w:rsidRDefault="00CE1707" w:rsidP="00CE1707"/>
    <w:p w14:paraId="7921F9BC" w14:textId="77777777" w:rsidR="00CE1707" w:rsidRPr="003954CC" w:rsidRDefault="00CE1707" w:rsidP="00CE1707">
      <w:r w:rsidRPr="003954CC">
        <w:t xml:space="preserve">I det följande beskrivs sex viktiga utvecklingsområden.  </w:t>
      </w:r>
    </w:p>
    <w:p w14:paraId="27768999" w14:textId="77777777" w:rsidR="00CE1707" w:rsidRPr="003954CC" w:rsidRDefault="00CE1707" w:rsidP="00CE1707"/>
    <w:p w14:paraId="0989866E" w14:textId="77777777" w:rsidR="00CE1707" w:rsidRPr="003954CC" w:rsidRDefault="00CE1707" w:rsidP="00C5023D">
      <w:pPr>
        <w:pStyle w:val="Rubrik2"/>
      </w:pPr>
      <w:r w:rsidRPr="003954CC">
        <w:t xml:space="preserve">1. Punktskrift i skolan </w:t>
      </w:r>
    </w:p>
    <w:p w14:paraId="7BF6E740" w14:textId="77777777" w:rsidR="00CE1707" w:rsidRPr="003954CC" w:rsidRDefault="00CE1707" w:rsidP="00CE1707">
      <w:r w:rsidRPr="003954CC">
        <w:t xml:space="preserve">På senare tid har många framhållit hur viktigt det är för barns språkutveckling att få tillgång till fysiska böcker och att med handen forma bokstäver till ord på papper. För barn och unga som är blinda eller har en svår synnedsättning är närkontakten med språket minst lika viktig men vägen dit måste bli annorlunda. Kvalitativ undervisning i punktskrift är av avgörande betydelse. Den är en förutsättning för att satsningar som läs-skriv-och-räknagarantin ska gälla även för elever med synnedsättning. Idag är det inte självklart att dessa elever får tillräcklig undervisning och uppmuntran att använda punktskrift. Ofta saknar </w:t>
      </w:r>
      <w:r w:rsidRPr="003954CC">
        <w:lastRenderedPageBreak/>
        <w:t>skolorna den nödvändiga kompetensen och det är ofta svårt att få punktskriftsmaterial samtidigt som klasskamraterna får sina läromedel.</w:t>
      </w:r>
    </w:p>
    <w:p w14:paraId="4A12726B" w14:textId="77777777" w:rsidR="00CE1707" w:rsidRPr="003954CC" w:rsidRDefault="00CE1707" w:rsidP="00CE1707"/>
    <w:p w14:paraId="40BC4990" w14:textId="77777777" w:rsidR="00CE1707" w:rsidRPr="003954CC" w:rsidRDefault="00CE1707" w:rsidP="00CE1707">
      <w:pPr>
        <w:numPr>
          <w:ilvl w:val="0"/>
          <w:numId w:val="19"/>
        </w:numPr>
        <w:spacing w:after="160" w:line="278" w:lineRule="auto"/>
      </w:pPr>
      <w:r w:rsidRPr="003954CC">
        <w:t xml:space="preserve">Säkerställ att elever med svår synnedsättning får rätt till kvalitativ undervisning i punktskrift, antingen genom lagstiftning eller andra bestämmelser som är tvingande för skolhuvudmännen. </w:t>
      </w:r>
    </w:p>
    <w:p w14:paraId="125EF939" w14:textId="77777777" w:rsidR="00CE1707" w:rsidRPr="003954CC" w:rsidRDefault="00CE1707" w:rsidP="00CE1707">
      <w:pPr>
        <w:numPr>
          <w:ilvl w:val="0"/>
          <w:numId w:val="19"/>
        </w:numPr>
        <w:spacing w:after="160" w:line="278" w:lineRule="auto"/>
      </w:pPr>
      <w:r w:rsidRPr="003954CC">
        <w:t>Ge specialpedagogiska skolmyndigheten i uppdrag att upprätta riktlinjer och checklistor för vad undervisningen i punktskrift ska innehålla och vilka färdigheter elever på grundskola, gymnasium och Komvux ska tillgodogöra sig. Det sistnämnda förslaget kan genomföras omedelbart.</w:t>
      </w:r>
    </w:p>
    <w:p w14:paraId="608BC65D" w14:textId="77777777" w:rsidR="00CE1707" w:rsidRPr="003954CC" w:rsidRDefault="00CE1707" w:rsidP="00CE1707"/>
    <w:p w14:paraId="6D45C2A3" w14:textId="77777777" w:rsidR="00CE1707" w:rsidRPr="003954CC" w:rsidRDefault="00CE1707" w:rsidP="00C5023D">
      <w:pPr>
        <w:pStyle w:val="Rubrik2"/>
      </w:pPr>
      <w:r w:rsidRPr="003954CC">
        <w:t xml:space="preserve">2. Punktskrift för vuxna som del av rehabiliteringen vid synförlust </w:t>
      </w:r>
    </w:p>
    <w:p w14:paraId="2848D3CA" w14:textId="77777777" w:rsidR="00CE1707" w:rsidRPr="003954CC" w:rsidRDefault="00CE1707" w:rsidP="00CE1707">
      <w:r w:rsidRPr="003954CC">
        <w:t xml:space="preserve">För personer som får grava synnedsättningar som vuxna har punktskriften en delvis annan roll. Då handlar det om att så långt möjligt lära sig läsa och skriva på ett nytt sätt. Då är punktskriften till stor nytta, bland annat för den som vill föra anteckningar, redigera en text eller för att märka upp matvaror hemma. I regionernas rehabilitering för synskadade är dock kunskaperna om punktskrift och dess användning mycket bristfälliga och kompetensen måste stärkas. </w:t>
      </w:r>
    </w:p>
    <w:p w14:paraId="0CF1A781" w14:textId="77777777" w:rsidR="00CE1707" w:rsidRPr="003954CC" w:rsidRDefault="00CE1707" w:rsidP="00CE1707"/>
    <w:p w14:paraId="2DB3BF67" w14:textId="77777777" w:rsidR="00CE1707" w:rsidRPr="003954CC" w:rsidRDefault="00CE1707" w:rsidP="00CE1707">
      <w:pPr>
        <w:numPr>
          <w:ilvl w:val="0"/>
          <w:numId w:val="19"/>
        </w:numPr>
        <w:spacing w:after="160" w:line="278" w:lineRule="auto"/>
      </w:pPr>
      <w:r w:rsidRPr="003954CC">
        <w:t>Säkerställ att vuxna som förvärvar en grav synnedsättning får möjlighet till undervisning i punktskrift inom ramen för regionernas rehabilitering.</w:t>
      </w:r>
    </w:p>
    <w:p w14:paraId="63C2AD74" w14:textId="77777777" w:rsidR="00CE1707" w:rsidRPr="003954CC" w:rsidRDefault="00CE1707" w:rsidP="00CE1707">
      <w:pPr>
        <w:numPr>
          <w:ilvl w:val="0"/>
          <w:numId w:val="19"/>
        </w:numPr>
        <w:spacing w:after="160" w:line="278" w:lineRule="auto"/>
      </w:pPr>
      <w:r w:rsidRPr="003954CC">
        <w:t xml:space="preserve">Ge Socialstyrelsen i uppdrag att utfärda föreskrifter där regionernas ansvar på detta område klargörs. Det sista kan genomföras omedelbart. </w:t>
      </w:r>
    </w:p>
    <w:p w14:paraId="3E852F94" w14:textId="77777777" w:rsidR="00CE1707" w:rsidRPr="003954CC" w:rsidRDefault="00CE1707" w:rsidP="00CE1707"/>
    <w:p w14:paraId="167F24F3" w14:textId="77777777" w:rsidR="00CE1707" w:rsidRPr="003954CC" w:rsidRDefault="00CE1707" w:rsidP="00C5023D">
      <w:pPr>
        <w:pStyle w:val="Rubrik2"/>
      </w:pPr>
      <w:r w:rsidRPr="003954CC">
        <w:t>3. Punktskrift i arbetslivet</w:t>
      </w:r>
    </w:p>
    <w:p w14:paraId="26B92C23" w14:textId="77777777" w:rsidR="00CE1707" w:rsidRPr="003954CC" w:rsidRDefault="00CE1707" w:rsidP="00CE1707">
      <w:r w:rsidRPr="003954CC">
        <w:t xml:space="preserve">Endast cirka 50 procent av Sveriges synskadade i yrkesverksam ålder har förankring på arbetsmarknaden. Allt som kan göras behöver således göras för att fler ska få arbete. Vi vet att en framgångsfaktor, särskilt för personer med grav synnedsättning, är att kunna kombinera olika tekniker och arbetssätt. Att kunna använda punktskriftsdisplay kopplad till datorn i kombination med skärmläsningsprogram och andra tekniska hjälpmedel gör att synskadade ofta kan prestera väl i nivå med seende kollegor. Det </w:t>
      </w:r>
      <w:r w:rsidRPr="003954CC">
        <w:lastRenderedPageBreak/>
        <w:t>finns forskning som visar att punktskriftsanvändning gynnar anställningsbarhet och egen försörjning.   Detta har dock inte fått genomslag i den arbetsförberedande rehabiliteringen för synskadade, som tvärtom har försvagats under en följd av år</w:t>
      </w:r>
    </w:p>
    <w:p w14:paraId="28DEF47C" w14:textId="77777777" w:rsidR="00CE1707" w:rsidRPr="003954CC" w:rsidRDefault="00CE1707" w:rsidP="00CE1707"/>
    <w:p w14:paraId="0C56149D" w14:textId="77777777" w:rsidR="00CE1707" w:rsidRPr="003954CC" w:rsidRDefault="00CE1707" w:rsidP="00CE1707">
      <w:pPr>
        <w:numPr>
          <w:ilvl w:val="0"/>
          <w:numId w:val="19"/>
        </w:numPr>
        <w:spacing w:after="160" w:line="278" w:lineRule="auto"/>
      </w:pPr>
      <w:r w:rsidRPr="003954CC">
        <w:t xml:space="preserve">Säkerställ att mer avancerad användning av punktskrift i kombination med andra tekniker blir en självklar del av de arbets- och studieförberedande kurser som erbjuds synskadade. </w:t>
      </w:r>
    </w:p>
    <w:p w14:paraId="5D617D29" w14:textId="77777777" w:rsidR="00CE1707" w:rsidRPr="003954CC" w:rsidRDefault="00CE1707" w:rsidP="00CE1707">
      <w:pPr>
        <w:numPr>
          <w:ilvl w:val="0"/>
          <w:numId w:val="19"/>
        </w:numPr>
        <w:spacing w:after="160" w:line="278" w:lineRule="auto"/>
      </w:pPr>
      <w:r w:rsidRPr="003954CC">
        <w:t>Ge Arbetsförmedlingen i uppdrag att utreda hur kompetens kring punktskrift i kombination med andra tekniker och hjälpmedel kan byggas upp, antingen inom myndigheten eller via extern samverkan. Det senare kan ske omedelbart.</w:t>
      </w:r>
    </w:p>
    <w:p w14:paraId="000B7B98" w14:textId="6B6E6E38" w:rsidR="00CE1707" w:rsidRDefault="00CE1707" w:rsidP="00CE1707">
      <w:pPr>
        <w:spacing w:line="259" w:lineRule="auto"/>
      </w:pPr>
    </w:p>
    <w:p w14:paraId="539126B2" w14:textId="77777777" w:rsidR="00CE1707" w:rsidRPr="003954CC" w:rsidRDefault="00CE1707" w:rsidP="00C5023D">
      <w:pPr>
        <w:pStyle w:val="Rubrik2"/>
      </w:pPr>
      <w:r w:rsidRPr="003954CC">
        <w:t xml:space="preserve">4. Innovation och förnyelse av punktskrift  </w:t>
      </w:r>
    </w:p>
    <w:p w14:paraId="02866884" w14:textId="77777777" w:rsidR="00CE1707" w:rsidRPr="003954CC" w:rsidRDefault="00CE1707" w:rsidP="00CE1707">
      <w:r w:rsidRPr="003954CC">
        <w:t xml:space="preserve">Sverige borde ta en aktiv roll för att inkludering ska bli en naturlig del i den digitala teknikutvecklingen där vi som land vill ligga i framkant. För lite uppmärksamhet ägnas åt innovationer för att ny teknik ska komma fler till del. Myndigheten för tillgängliga medier arbetar exempelvis med ett nytt publiceringssystem för litteratur, men det är oklart hur det ska fungera smidigt ihop med hjälpmedel för att läsa punktskrift. I andra delar av världen pågår utveckling av hjälpmedel för att kunna visa exempelvis grafer och tabeller taktilt, så att de går att avläsa med fingrarna, men så ej här. </w:t>
      </w:r>
    </w:p>
    <w:p w14:paraId="796435A4" w14:textId="77777777" w:rsidR="00CE1707" w:rsidRPr="003954CC" w:rsidRDefault="00CE1707" w:rsidP="00CE1707"/>
    <w:p w14:paraId="146ABC6F" w14:textId="77777777" w:rsidR="00CE1707" w:rsidRPr="003954CC" w:rsidRDefault="00CE1707" w:rsidP="00CE1707">
      <w:pPr>
        <w:numPr>
          <w:ilvl w:val="0"/>
          <w:numId w:val="19"/>
        </w:numPr>
        <w:spacing w:after="160" w:line="278" w:lineRule="auto"/>
      </w:pPr>
      <w:r w:rsidRPr="003954CC">
        <w:t>Säkerställ en långsiktig utveckling där satsningar på teknik, bland annat inom AI, är inkluderande och inte utestänger synskadade.</w:t>
      </w:r>
    </w:p>
    <w:p w14:paraId="5DCBAF6F" w14:textId="77777777" w:rsidR="00CE1707" w:rsidRPr="003954CC" w:rsidRDefault="00CE1707" w:rsidP="00CE1707">
      <w:pPr>
        <w:numPr>
          <w:ilvl w:val="0"/>
          <w:numId w:val="19"/>
        </w:numPr>
        <w:spacing w:after="160" w:line="278" w:lineRule="auto"/>
      </w:pPr>
      <w:r w:rsidRPr="003954CC">
        <w:t xml:space="preserve">Öronmärk statliga pengar till forskningsinstitutioner för att tillgängliggöra information i punktskrift och taktilt. Det senare bör kunna genomföras relativt snart </w:t>
      </w:r>
    </w:p>
    <w:p w14:paraId="6A162F9B" w14:textId="77777777" w:rsidR="00CE1707" w:rsidRPr="003954CC" w:rsidRDefault="00CE1707" w:rsidP="00CE1707">
      <w:r w:rsidRPr="003954CC">
        <w:t xml:space="preserve"> </w:t>
      </w:r>
    </w:p>
    <w:p w14:paraId="702D37EE" w14:textId="77777777" w:rsidR="00CE1707" w:rsidRPr="003954CC" w:rsidRDefault="00CE1707" w:rsidP="00C5023D">
      <w:pPr>
        <w:pStyle w:val="Rubrik2"/>
      </w:pPr>
      <w:r w:rsidRPr="003954CC">
        <w:t xml:space="preserve">5. Punktskrift på förpackningar  </w:t>
      </w:r>
    </w:p>
    <w:p w14:paraId="11C79183" w14:textId="77777777" w:rsidR="00CE1707" w:rsidRPr="003954CC" w:rsidRDefault="00CE1707" w:rsidP="00CE1707">
      <w:r w:rsidRPr="003954CC">
        <w:t xml:space="preserve">Sedan länge finns punktskriftsmärkning på receptbelagda och åtskilliga andra mediciner tack vare lagstiftning på EU-nivå. Det är delvis en säkerhetsfråga men samtidigt till stor nytta i vardagen för synskadade punktskriftsanvändare. Frågan är varför samma tillgänglighetskrav inte gäller för förpackningar till dagligvaror. Tekniken finns och det finns också företag som erbjuder produktionssystem för förpackningar där </w:t>
      </w:r>
      <w:r w:rsidRPr="003954CC">
        <w:lastRenderedPageBreak/>
        <w:t>punktskriften är integrerad. Det är universell utformning i ett nötskal. Så vad väntar Sverige på?</w:t>
      </w:r>
    </w:p>
    <w:p w14:paraId="3025FF5F" w14:textId="77777777" w:rsidR="00CE1707" w:rsidRPr="003954CC" w:rsidRDefault="00CE1707" w:rsidP="00CE1707"/>
    <w:p w14:paraId="3CC29C81" w14:textId="77777777" w:rsidR="00CE1707" w:rsidRPr="003954CC" w:rsidRDefault="00CE1707" w:rsidP="00CE1707">
      <w:pPr>
        <w:numPr>
          <w:ilvl w:val="0"/>
          <w:numId w:val="19"/>
        </w:numPr>
        <w:spacing w:after="160" w:line="278" w:lineRule="auto"/>
      </w:pPr>
      <w:r w:rsidRPr="003954CC">
        <w:t>Säkerställ att förpackningar för dagligvaror blir universellt utformade, med märkning i punktskrift.</w:t>
      </w:r>
    </w:p>
    <w:p w14:paraId="10FAD529" w14:textId="77777777" w:rsidR="00CE1707" w:rsidRPr="003954CC" w:rsidRDefault="00CE1707" w:rsidP="00CE1707">
      <w:pPr>
        <w:numPr>
          <w:ilvl w:val="0"/>
          <w:numId w:val="19"/>
        </w:numPr>
        <w:spacing w:after="160" w:line="278" w:lineRule="auto"/>
      </w:pPr>
      <w:r w:rsidRPr="003954CC">
        <w:t>Utred hur incitament kan skapas för att stimulera tillverkare till universell utformning av förpackningar till dagligvaror, bland annat märkning i punktskrift. Det senare kan genomföras omgående.</w:t>
      </w:r>
    </w:p>
    <w:p w14:paraId="01D046A3" w14:textId="64966794" w:rsidR="00CE1707" w:rsidRDefault="00CE1707" w:rsidP="00CE1707">
      <w:pPr>
        <w:spacing w:line="259" w:lineRule="auto"/>
      </w:pPr>
    </w:p>
    <w:p w14:paraId="2E328C4B" w14:textId="77777777" w:rsidR="00CE1707" w:rsidRPr="003954CC" w:rsidRDefault="00CE1707" w:rsidP="00C5023D">
      <w:pPr>
        <w:pStyle w:val="Rubrik2"/>
      </w:pPr>
      <w:r w:rsidRPr="003954CC">
        <w:t>6. Punktskrift i offentligheten</w:t>
      </w:r>
    </w:p>
    <w:p w14:paraId="643CF21D" w14:textId="77777777" w:rsidR="00CE1707" w:rsidRPr="003954CC" w:rsidRDefault="00CE1707" w:rsidP="00CE1707">
      <w:r w:rsidRPr="003954CC">
        <w:t xml:space="preserve">Punktskrift och annan taktil märkning finns i vissa offentliga sammanhang, till exempel på hissknappar och skyltar i offentliga lokaler. Taktila kartor finns på bland annat tågstationer. Vidare erbjuder kommuner, domstolar och andra offentliga organ ibland dokument i punktskrift till synskadade som begär det för att kunna driva sitt ärende. Det är inte bara till nytta för dem som använder den utan synliggör punktskriften som blir potentiellt användbar för fler. En nackdel är att det inte finns några gemensamma principer för var och när punktskrift ska användas i offentligheten. </w:t>
      </w:r>
    </w:p>
    <w:p w14:paraId="11211D5A" w14:textId="77777777" w:rsidR="00CE1707" w:rsidRPr="003954CC" w:rsidRDefault="00CE1707" w:rsidP="00CE1707"/>
    <w:p w14:paraId="3E6FBEDE" w14:textId="77777777" w:rsidR="00CE1707" w:rsidRPr="003954CC" w:rsidRDefault="00CE1707" w:rsidP="00CE1707">
      <w:pPr>
        <w:numPr>
          <w:ilvl w:val="0"/>
          <w:numId w:val="19"/>
        </w:numPr>
        <w:spacing w:after="160" w:line="278" w:lineRule="auto"/>
      </w:pPr>
      <w:r w:rsidRPr="003954CC">
        <w:t>Ge Myndigheten för tillgängliga medier i uppdrag att utreda hur punktskrift mer konsekvent kan användas i offentliga sammanhang och vid behov lägga förslag på lagförändringar. Detta kan genomföras snarast.</w:t>
      </w:r>
    </w:p>
    <w:p w14:paraId="5FFA14D3" w14:textId="77777777" w:rsidR="00CE1707" w:rsidRPr="00FC5808" w:rsidRDefault="00CE1707" w:rsidP="00CE1707">
      <w:pPr>
        <w:pStyle w:val="Liststycke"/>
        <w:numPr>
          <w:ilvl w:val="0"/>
          <w:numId w:val="19"/>
        </w:numPr>
      </w:pPr>
      <w:r w:rsidRPr="00FC5808">
        <w:t>Säkerställ en mer konsekvent användning av punktskrift i offentlig förvaltning, bland annat att alla förvaltningsmyndigheter ska ha en beredskap och rutin för att ta fram handlingar i punktskrift när någon så begär.</w:t>
      </w:r>
    </w:p>
    <w:p w14:paraId="17FDDC1D" w14:textId="77777777" w:rsidR="00CE1707" w:rsidRDefault="00CE1707" w:rsidP="00CE1707"/>
    <w:p w14:paraId="00F208E0" w14:textId="77777777" w:rsidR="00CE1707" w:rsidRPr="003954CC" w:rsidRDefault="00CE1707" w:rsidP="00CE1707"/>
    <w:p w14:paraId="604B1FA9" w14:textId="77777777" w:rsidR="00CE1707" w:rsidRDefault="00CE1707" w:rsidP="00CE1707">
      <w:r w:rsidRPr="003954CC">
        <w:t>Må punktskriften leva och frodas i 200 år till och bidra till frihet och delaktighet för synskadade!</w:t>
      </w:r>
      <w:r>
        <w:t xml:space="preserve"> Vi ser fram emot ert svar och att riksdagspartierna agerar kraftfullt för att stärka punktskriftens status.</w:t>
      </w:r>
    </w:p>
    <w:p w14:paraId="3D0A8FA1" w14:textId="77777777" w:rsidR="00CE1707" w:rsidRDefault="00CE1707" w:rsidP="00CE1707">
      <w:r w:rsidRPr="003954CC">
        <w:t>Och därmed punkt…</w:t>
      </w:r>
    </w:p>
    <w:p w14:paraId="5934F4BE" w14:textId="77777777" w:rsidR="00CE1707" w:rsidRDefault="00CE1707" w:rsidP="00CE1707"/>
    <w:p w14:paraId="5F9E1462" w14:textId="77777777" w:rsidR="00CE1707" w:rsidRPr="007F110D" w:rsidRDefault="00CE1707" w:rsidP="00CE1707">
      <w:r w:rsidRPr="00396BAC">
        <w:t>Antaget vid Synskadades Riksförbunds kongress i Göteborg den 17 till 20 oktober 2024</w:t>
      </w:r>
    </w:p>
    <w:p w14:paraId="65898E40" w14:textId="77777777" w:rsidR="00DD5881" w:rsidRDefault="00DD5881" w:rsidP="00634FB8">
      <w:pPr>
        <w:rPr>
          <w:sz w:val="36"/>
        </w:rPr>
      </w:pP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7E47" w14:textId="77777777" w:rsidR="00747A31" w:rsidRDefault="00747A31" w:rsidP="004A71FF">
      <w:r>
        <w:separator/>
      </w:r>
    </w:p>
  </w:endnote>
  <w:endnote w:type="continuationSeparator" w:id="0">
    <w:p w14:paraId="5042FD6F" w14:textId="77777777" w:rsidR="00747A31" w:rsidRDefault="00747A31"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0D8E9CC2" w14:textId="03EF3216" w:rsidR="00706028" w:rsidRDefault="00D40404" w:rsidP="00D40404">
            <w:pPr>
              <w:pStyle w:val="Sidfot"/>
            </w:pPr>
            <w:r>
              <w:t xml:space="preserve">Kongress 2024/Handling </w:t>
            </w:r>
            <w:r w:rsidR="006B6B2E">
              <w:t>§ 22</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3206AD6"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DDD7" w14:textId="77777777" w:rsidR="009C273A" w:rsidRDefault="009C273A" w:rsidP="009C273A">
    <w:pPr>
      <w:pStyle w:val="Sidfot"/>
      <w:jc w:val="center"/>
    </w:pPr>
    <w:r>
      <w:rPr>
        <w:noProof/>
        <w:sz w:val="24"/>
        <w:szCs w:val="24"/>
      </w:rPr>
      <w:drawing>
        <wp:inline distT="0" distB="0" distL="0" distR="0" wp14:anchorId="6C86A390" wp14:editId="043DBACF">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DB47D" w14:textId="77777777" w:rsidR="00747A31" w:rsidRDefault="00747A31" w:rsidP="004A71FF">
      <w:r>
        <w:separator/>
      </w:r>
    </w:p>
  </w:footnote>
  <w:footnote w:type="continuationSeparator" w:id="0">
    <w:p w14:paraId="73809860" w14:textId="77777777" w:rsidR="00747A31" w:rsidRDefault="00747A31"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7B2E67"/>
    <w:multiLevelType w:val="hybridMultilevel"/>
    <w:tmpl w:val="2B663A74"/>
    <w:lvl w:ilvl="0" w:tplc="CFA8FDE8">
      <w:start w:val="5"/>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6"/>
  </w:num>
  <w:num w:numId="7" w16cid:durableId="1958563974">
    <w:abstractNumId w:val="3"/>
  </w:num>
  <w:num w:numId="8" w16cid:durableId="1445689210">
    <w:abstractNumId w:val="14"/>
  </w:num>
  <w:num w:numId="9" w16cid:durableId="447939091">
    <w:abstractNumId w:val="3"/>
  </w:num>
  <w:num w:numId="10" w16cid:durableId="1590894410">
    <w:abstractNumId w:val="4"/>
  </w:num>
  <w:num w:numId="11" w16cid:durableId="768934155">
    <w:abstractNumId w:val="1"/>
  </w:num>
  <w:num w:numId="12" w16cid:durableId="102306843">
    <w:abstractNumId w:val="10"/>
  </w:num>
  <w:num w:numId="13" w16cid:durableId="272641063">
    <w:abstractNumId w:val="9"/>
  </w:num>
  <w:num w:numId="14" w16cid:durableId="740056183">
    <w:abstractNumId w:val="12"/>
  </w:num>
  <w:num w:numId="15" w16cid:durableId="1411805668">
    <w:abstractNumId w:val="2"/>
  </w:num>
  <w:num w:numId="16" w16cid:durableId="1380325358">
    <w:abstractNumId w:val="11"/>
  </w:num>
  <w:num w:numId="17" w16cid:durableId="1510371397">
    <w:abstractNumId w:val="8"/>
  </w:num>
  <w:num w:numId="18" w16cid:durableId="475729965">
    <w:abstractNumId w:val="17"/>
  </w:num>
  <w:num w:numId="19" w16cid:durableId="171057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2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643B"/>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2E"/>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1EB5"/>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47A31"/>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0A17"/>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270D"/>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023D"/>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07"/>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C04"/>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8DE6"/>
  <w15:docId w15:val="{A4B193A4-16B5-48BA-B964-522D51A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BA70BDF6-D08A-4AEF-AC26-6471003F84F0}"/>
</file>

<file path=customXml/itemProps3.xml><?xml version="1.0" encoding="utf-8"?>
<ds:datastoreItem xmlns:ds="http://schemas.openxmlformats.org/officeDocument/2006/customXml" ds:itemID="{FFB8A001-E767-4392-A96F-B730D1EE9DB1}"/>
</file>

<file path=customXml/itemProps4.xml><?xml version="1.0" encoding="utf-8"?>
<ds:datastoreItem xmlns:ds="http://schemas.openxmlformats.org/officeDocument/2006/customXml" ds:itemID="{EB26D118-8BB2-44C0-B117-4DAA4E4086C0}"/>
</file>

<file path=docProps/app.xml><?xml version="1.0" encoding="utf-8"?>
<Properties xmlns="http://schemas.openxmlformats.org/officeDocument/2006/extended-properties" xmlns:vt="http://schemas.openxmlformats.org/officeDocument/2006/docPropsVTypes">
  <Template>Kongresshandlingsmall_2024.03.18</Template>
  <TotalTime>3</TotalTime>
  <Pages>6</Pages>
  <Words>1269</Words>
  <Characters>6731</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5</cp:revision>
  <cp:lastPrinted>2018-09-11T07:56:00Z</cp:lastPrinted>
  <dcterms:created xsi:type="dcterms:W3CDTF">2024-10-08T20:28:00Z</dcterms:created>
  <dcterms:modified xsi:type="dcterms:W3CDTF">2024-10-08T20:30:00Z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ies>
</file>