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8112" w14:textId="77777777" w:rsidR="00F27E17" w:rsidRDefault="00813D92" w:rsidP="00544E74">
      <w:pPr>
        <w:spacing w:after="660"/>
      </w:pPr>
      <w:bookmarkStart w:id="0" w:name="_Toc129767120"/>
      <w:r>
        <w:rPr>
          <w:noProof/>
        </w:rPr>
        <w:drawing>
          <wp:inline distT="0" distB="0" distL="0" distR="0" wp14:anchorId="0D3DE485" wp14:editId="574537FE">
            <wp:extent cx="2340000" cy="585128"/>
            <wp:effectExtent l="0" t="0" r="3175" b="5715"/>
            <wp:docPr id="873557974" name="Bild 5"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7974" name="Bild 5"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340000" cy="585128"/>
                    </a:xfrm>
                    <a:prstGeom prst="rect">
                      <a:avLst/>
                    </a:prstGeom>
                  </pic:spPr>
                </pic:pic>
              </a:graphicData>
            </a:graphic>
          </wp:inline>
        </w:drawing>
      </w:r>
    </w:p>
    <w:p w14:paraId="6D0A7AAF" w14:textId="77777777" w:rsidR="001F5561" w:rsidRDefault="001F5561" w:rsidP="001F5561">
      <w:pPr>
        <w:rPr>
          <w:b/>
          <w:bCs/>
        </w:rPr>
        <w:sectPr w:rsidR="001F5561" w:rsidSect="00465805">
          <w:headerReference w:type="default" r:id="rId13"/>
          <w:footerReference w:type="default" r:id="rId14"/>
          <w:footerReference w:type="first" r:id="rId15"/>
          <w:pgSz w:w="11906" w:h="16838"/>
          <w:pgMar w:top="851" w:right="1418" w:bottom="1418" w:left="1418" w:header="567" w:footer="567" w:gutter="0"/>
          <w:cols w:space="708"/>
          <w:titlePg/>
          <w:docGrid w:linePitch="381"/>
        </w:sectPr>
      </w:pPr>
    </w:p>
    <w:p w14:paraId="46118209" w14:textId="77777777" w:rsidR="001F5561" w:rsidRPr="001F5561" w:rsidRDefault="001F5561" w:rsidP="003845EA">
      <w:pPr>
        <w:spacing w:line="240" w:lineRule="auto"/>
        <w:rPr>
          <w:b/>
          <w:bCs/>
        </w:rPr>
      </w:pPr>
      <w:r w:rsidRPr="001F5561">
        <w:rPr>
          <w:b/>
          <w:bCs/>
        </w:rPr>
        <w:t>Kontakt</w:t>
      </w:r>
    </w:p>
    <w:p w14:paraId="28B673DB" w14:textId="1DB027A9" w:rsidR="001F5561" w:rsidRDefault="00E218B4" w:rsidP="003845EA">
      <w:pPr>
        <w:spacing w:line="240" w:lineRule="auto"/>
      </w:pPr>
      <w:r>
        <w:t>Belmina Koca</w:t>
      </w:r>
    </w:p>
    <w:p w14:paraId="7A875133" w14:textId="6CEEA35F" w:rsidR="001F5561" w:rsidRDefault="00E218B4" w:rsidP="003845EA">
      <w:pPr>
        <w:spacing w:line="240" w:lineRule="auto"/>
      </w:pPr>
      <w:r w:rsidRPr="00E218B4">
        <w:t>08-39 91 72</w:t>
      </w:r>
    </w:p>
    <w:p w14:paraId="34431E05" w14:textId="5DD85850" w:rsidR="001F5561" w:rsidRPr="00551342" w:rsidRDefault="00551342" w:rsidP="003845EA">
      <w:pPr>
        <w:spacing w:line="240" w:lineRule="auto"/>
      </w:pPr>
      <w:r w:rsidRPr="00551342">
        <w:t>b</w:t>
      </w:r>
      <w:r w:rsidR="00E218B4" w:rsidRPr="00551342">
        <w:t>elmina.koca@srf.nu</w:t>
      </w:r>
    </w:p>
    <w:p w14:paraId="0DE36F79" w14:textId="3515CB56" w:rsidR="001F5561" w:rsidRPr="00551342" w:rsidRDefault="00551342" w:rsidP="003845EA">
      <w:pPr>
        <w:spacing w:line="240" w:lineRule="auto"/>
      </w:pPr>
      <w:r w:rsidRPr="00551342">
        <w:t>SRF diarienummer: 036/2026</w:t>
      </w:r>
    </w:p>
    <w:p w14:paraId="69383DA3" w14:textId="12BEB0DE" w:rsidR="001F5561" w:rsidRDefault="00214146" w:rsidP="003845EA">
      <w:pPr>
        <w:spacing w:line="240" w:lineRule="auto"/>
      </w:pPr>
      <w:r w:rsidRPr="00551342">
        <w:br w:type="column"/>
      </w:r>
      <w:sdt>
        <w:sdtPr>
          <w:id w:val="1158193496"/>
          <w:placeholder>
            <w:docPart w:val="CEC1A09C8D7749DAB33D0626B9F483AF"/>
          </w:placeholder>
          <w:date w:fullDate="2026-06-12T00:00:00Z">
            <w:dateFormat w:val="yyyy-MM-dd"/>
            <w:lid w:val="sv-SE"/>
            <w:storeMappedDataAs w:val="dateTime"/>
            <w:calendar w:val="gregorian"/>
          </w:date>
        </w:sdtPr>
        <w:sdtEndPr/>
        <w:sdtContent>
          <w:r w:rsidR="00551342">
            <w:t>2026-06-12</w:t>
          </w:r>
        </w:sdtContent>
      </w:sdt>
    </w:p>
    <w:p w14:paraId="2DA17766" w14:textId="1DEE3B49" w:rsidR="001F5561" w:rsidRPr="001F5561" w:rsidRDefault="00551342" w:rsidP="003845EA">
      <w:pPr>
        <w:spacing w:line="240" w:lineRule="auto"/>
        <w:rPr>
          <w:b/>
          <w:bCs/>
        </w:rPr>
      </w:pPr>
      <w:r>
        <w:rPr>
          <w:b/>
          <w:bCs/>
        </w:rPr>
        <w:br/>
      </w:r>
      <w:r w:rsidR="001F5561" w:rsidRPr="001F5561">
        <w:rPr>
          <w:b/>
          <w:bCs/>
        </w:rPr>
        <w:t>Till</w:t>
      </w:r>
    </w:p>
    <w:p w14:paraId="266E4E16" w14:textId="2A516EC9" w:rsidR="001F5561" w:rsidRDefault="00551342" w:rsidP="003845EA">
      <w:pPr>
        <w:spacing w:line="240" w:lineRule="auto"/>
      </w:pPr>
      <w:r>
        <w:t>Mediemyndigheten</w:t>
      </w:r>
    </w:p>
    <w:p w14:paraId="70B66726" w14:textId="2A85C3BC" w:rsidR="00551342" w:rsidRPr="00551342" w:rsidRDefault="00551342" w:rsidP="003845EA">
      <w:pPr>
        <w:spacing w:line="240" w:lineRule="auto"/>
        <w:rPr>
          <w:sz w:val="27"/>
          <w:szCs w:val="27"/>
        </w:rPr>
        <w:sectPr w:rsidR="00551342" w:rsidRPr="00551342" w:rsidSect="001F5561">
          <w:type w:val="continuous"/>
          <w:pgSz w:w="11906" w:h="16838"/>
          <w:pgMar w:top="851" w:right="1418" w:bottom="1418" w:left="1418" w:header="567" w:footer="567" w:gutter="0"/>
          <w:cols w:num="2" w:space="708"/>
          <w:titlePg/>
          <w:docGrid w:linePitch="381"/>
        </w:sectPr>
      </w:pPr>
      <w:r w:rsidRPr="00551342">
        <w:rPr>
          <w:sz w:val="27"/>
          <w:szCs w:val="27"/>
        </w:rPr>
        <w:t>registrator@mediemyndigheten.se</w:t>
      </w:r>
    </w:p>
    <w:p w14:paraId="20A00FBF" w14:textId="77777777" w:rsidR="001F5561" w:rsidRDefault="001F5561" w:rsidP="001F5561"/>
    <w:bookmarkEnd w:id="0"/>
    <w:p w14:paraId="3788DE71" w14:textId="02FB1B3D" w:rsidR="00B9642E" w:rsidRDefault="00E218B4" w:rsidP="00FA7353">
      <w:pPr>
        <w:pStyle w:val="Rubrik1"/>
      </w:pPr>
      <w:r w:rsidRPr="00E218B4">
        <w:t>Remissvar – utkast till beslut om tillgänglighetskrav enligt 5 kap. 12 § radio- och TV-lagen</w:t>
      </w:r>
    </w:p>
    <w:p w14:paraId="3A7D5849" w14:textId="47014EE5" w:rsidR="00E218B4" w:rsidRDefault="00E218B4" w:rsidP="00E218B4">
      <w:r>
        <w:t>Synskadades Riksförbund (SRF) lämnar härmed sitt remissvar på utkasten till beslut om tillgänglighetskrav enligt 5 kap. 12 § radio- och tv-lagen för TV4 AB och Viaplay Group Sweden AB.</w:t>
      </w:r>
    </w:p>
    <w:p w14:paraId="62A5134B" w14:textId="77777777" w:rsidR="00E218B4" w:rsidRDefault="00E218B4" w:rsidP="00E218B4"/>
    <w:p w14:paraId="5B4FB2ED" w14:textId="7F67F589" w:rsidR="0085734F" w:rsidRDefault="00E218B4" w:rsidP="00E218B4">
      <w:r>
        <w:t>SRF är en ideell intresseorganisation av och för synskadade. Förbundet verkar för full delaktighet i samhället och för att alla ska ha likvärdig tillgång till information, kultur och samhällskommunikation.</w:t>
      </w:r>
    </w:p>
    <w:p w14:paraId="0620D0A8" w14:textId="77777777" w:rsidR="0085734F" w:rsidRDefault="0085734F" w:rsidP="00E218B4"/>
    <w:p w14:paraId="4F762868" w14:textId="6D42C7A1" w:rsidR="0085734F" w:rsidRDefault="0085734F" w:rsidP="002D6F77">
      <w:pPr>
        <w:pStyle w:val="Rubrik2"/>
      </w:pPr>
      <w:r w:rsidRPr="0085734F">
        <w:t>Sammanfattning</w:t>
      </w:r>
    </w:p>
    <w:p w14:paraId="5056C705" w14:textId="77777777" w:rsidR="002D6F77" w:rsidRDefault="002D6F77" w:rsidP="002D6F77">
      <w:r w:rsidRPr="002D6F77">
        <w:t>Synskadades Riksförbund (SRF) är starkt kritiska till de föreslagna besluten.</w:t>
      </w:r>
    </w:p>
    <w:p w14:paraId="12A8C965" w14:textId="77777777" w:rsidR="002D6F77" w:rsidRDefault="002D6F77" w:rsidP="002D6F77"/>
    <w:p w14:paraId="6524F8EA" w14:textId="2C1DEA0D" w:rsidR="002D6F77" w:rsidRDefault="002D6F77" w:rsidP="002D6F77">
      <w:r>
        <w:t>SRF anser att:</w:t>
      </w:r>
    </w:p>
    <w:p w14:paraId="67939F42" w14:textId="7E715A59" w:rsidR="002D6F77" w:rsidRDefault="002D6F77" w:rsidP="00551342">
      <w:pPr>
        <w:pStyle w:val="Punktlista"/>
      </w:pPr>
      <w:r>
        <w:t>Det saknas krav på att textning, syntolkning och uppläst text ska hålla en kvalitet som gör tjänsterna användbara.</w:t>
      </w:r>
    </w:p>
    <w:p w14:paraId="2551A409" w14:textId="3442430A" w:rsidR="002D6F77" w:rsidRDefault="002D6F77" w:rsidP="00551342">
      <w:pPr>
        <w:pStyle w:val="Punktlista"/>
      </w:pPr>
      <w:r>
        <w:t>Myndigheten inte tar tillräcklig hänsyn till slutsatserna i sin egen rapport om en ny beslutsmodell.</w:t>
      </w:r>
    </w:p>
    <w:p w14:paraId="480EA6D0" w14:textId="360A4741" w:rsidR="002D6F77" w:rsidRDefault="002D6F77" w:rsidP="00551342">
      <w:pPr>
        <w:pStyle w:val="Punktlista"/>
      </w:pPr>
      <w:r>
        <w:lastRenderedPageBreak/>
        <w:t>Regleringen inte tar höjd för utvecklingen inom AI eller kommande rättsliga krav.</w:t>
      </w:r>
    </w:p>
    <w:p w14:paraId="75226695" w14:textId="4AA42907" w:rsidR="002D6F77" w:rsidRDefault="002D6F77" w:rsidP="00551342">
      <w:pPr>
        <w:pStyle w:val="Punktlista"/>
      </w:pPr>
      <w:r>
        <w:t>Besluten därför riskerar att upprätthålla ett system som inte leder till faktisk tillgänglighet.</w:t>
      </w:r>
    </w:p>
    <w:p w14:paraId="27CCE144" w14:textId="43C646FC" w:rsidR="002D6F77" w:rsidRDefault="002D6F77" w:rsidP="002D6F77">
      <w:r>
        <w:t>SRF anser därför att besluten i sin nuvarande form inte bör antas.</w:t>
      </w:r>
    </w:p>
    <w:p w14:paraId="31F8266C" w14:textId="77777777" w:rsidR="002D6F77" w:rsidRDefault="002D6F77" w:rsidP="002D6F77"/>
    <w:p w14:paraId="0DA4E7C7" w14:textId="23112C53" w:rsidR="002D6F77" w:rsidRDefault="002D6F77" w:rsidP="002D6F77">
      <w:pPr>
        <w:pStyle w:val="Rubrik2"/>
      </w:pPr>
      <w:r w:rsidRPr="002D6F77">
        <w:t>Synpunkter från Synskadades Riksförbund</w:t>
      </w:r>
    </w:p>
    <w:p w14:paraId="7FFED3F1" w14:textId="70B74232" w:rsidR="00D416F1" w:rsidRDefault="00D416F1" w:rsidP="00D416F1">
      <w:pPr>
        <w:pStyle w:val="Rubrik3"/>
      </w:pPr>
      <w:r w:rsidRPr="00D416F1">
        <w:t>Nuvarande modell prioriterar volym framför faktisk tillgänglighet</w:t>
      </w:r>
    </w:p>
    <w:p w14:paraId="7D1ABAC7" w14:textId="77777777" w:rsidR="00D416F1" w:rsidRDefault="00D416F1" w:rsidP="00D416F1">
      <w:r>
        <w:t>I rapporten Ny beslutsmodell för tillgänglighet till tv-sändningar och beställ-tv (Funka, 2025) konstaterar Mediemyndigheten att den nuvarande modellen är otillräcklig. Analysen visar att fokus ligger på att producera tillgänglighetstjänster i viss omfattning snarare än att säkerställa att de fungerar för användarna. Rapporten pekar också på att automatiserade lösningar, särskilt AI, riskerar att förstärka denna problematik genom att möjliggöra stora volymer till låg kvalitet.</w:t>
      </w:r>
    </w:p>
    <w:p w14:paraId="603A95FA" w14:textId="77777777" w:rsidR="00D416F1" w:rsidRDefault="00D416F1" w:rsidP="00D416F1"/>
    <w:p w14:paraId="057C531E" w14:textId="77777777" w:rsidR="00D416F1" w:rsidRDefault="00D416F1" w:rsidP="00D416F1">
      <w:r>
        <w:t>Mot denna bakgrund är det anmärkningsvärt att de remitterade besluten i huvudsak innebär en fortsättning av samma modell. Förändringarna begränsas till justeringar av procentsatser för exempelvis direkttextning och uppläst text, medan den grundläggande strukturen lämnas oförändrad.</w:t>
      </w:r>
    </w:p>
    <w:p w14:paraId="0D8D4BE4" w14:textId="77777777" w:rsidR="00D416F1" w:rsidRDefault="00D416F1" w:rsidP="00D416F1"/>
    <w:p w14:paraId="00A520D4" w14:textId="77777777" w:rsidR="00D416F1" w:rsidRDefault="00D416F1" w:rsidP="00D416F1">
      <w:r>
        <w:t>Detta blir särskilt tydligt genom att kraven fortsatt knyts till tittartidsandelar. Kravnivåerna kan förändras beroende på publikstorlek, men inte utifrån om tillgänglighetstjänsterna faktiskt fungerar för de användare som är beroende av dem. Modellen är därmed fortsatt volymbaserad snarare än användar- och kvalitetsbaserad.</w:t>
      </w:r>
    </w:p>
    <w:p w14:paraId="239CF018" w14:textId="77777777" w:rsidR="00D416F1" w:rsidRDefault="00D416F1" w:rsidP="00D416F1"/>
    <w:p w14:paraId="4F41FC31" w14:textId="5C344E67" w:rsidR="00D416F1" w:rsidRDefault="00D416F1" w:rsidP="00D416F1">
      <w:pPr>
        <w:pStyle w:val="Rubrik3"/>
      </w:pPr>
      <w:r w:rsidRPr="00D416F1">
        <w:t>Avsaknaden av kvalitetskrav</w:t>
      </w:r>
    </w:p>
    <w:p w14:paraId="0082856B" w14:textId="77777777" w:rsidR="00D416F1" w:rsidRDefault="00D416F1" w:rsidP="00D416F1">
      <w:r>
        <w:t xml:space="preserve">Den mest allvarliga bristen i utkasten till beslut är avsaknaden av kvalitetskrav. Rapporten om den nya beslutsmodellen framhåller behovet av mätbara kvalitetskriterier för att kunna bedöma om </w:t>
      </w:r>
      <w:r>
        <w:lastRenderedPageBreak/>
        <w:t xml:space="preserve">tillgänglighetstjänsterna faktiskt fungerar. Trots detta innehåller de remitterade besluten varken kvalitetskrav eller objektiva metoder för att följa upp om textning, syntolkning eller uppläst text är användbara i praktiken. </w:t>
      </w:r>
    </w:p>
    <w:p w14:paraId="2F60E305" w14:textId="77777777" w:rsidR="00D416F1" w:rsidRDefault="00D416F1" w:rsidP="00D416F1"/>
    <w:p w14:paraId="1310B5D4" w14:textId="2A450CD3" w:rsidR="00D416F1" w:rsidRDefault="00D416F1" w:rsidP="00D416F1">
      <w:r>
        <w:t>Detta står i direkt motsättning till rapportens slutsats att tillgänglighet måste vara användbar, tillförlitlig och begriplig för dem som är beroende av tjänsterna. För synskadade är detta avgörande. En bristfällig syntolkning eller en uppläst text som inte fungerar innebär att användaren fortfarande är utestängd från innehållet, även om de formella kraven är uppfyllda. Modellen riskerar därmed att skapa en skenbar tillgänglighet som inte motsvarar verkliga behov.</w:t>
      </w:r>
    </w:p>
    <w:p w14:paraId="66CBB4B2" w14:textId="77777777" w:rsidR="00D416F1" w:rsidRDefault="00D416F1" w:rsidP="00D416F1"/>
    <w:p w14:paraId="1222DEF8" w14:textId="77777777" w:rsidR="00D416F1" w:rsidRDefault="00D416F1" w:rsidP="00D416F1">
      <w:pPr>
        <w:pStyle w:val="Rubrik3"/>
      </w:pPr>
      <w:r>
        <w:t>AI och användbarhet</w:t>
      </w:r>
    </w:p>
    <w:p w14:paraId="5ED08331" w14:textId="77777777" w:rsidR="00D416F1" w:rsidRDefault="00D416F1" w:rsidP="00D416F1">
      <w:r>
        <w:t>Rapporten lyfter fram AI som en central utvecklingsfaktor och betonar behovet av mänsklig kontroll och uppföljning för att säkerställa kvalitet. Trots detta saknas i utkasten till beslut krav på hur AI-baserade lösningar får användas, granskas och följas upp.</w:t>
      </w:r>
    </w:p>
    <w:p w14:paraId="12138334" w14:textId="77777777" w:rsidR="00D416F1" w:rsidRDefault="00D416F1" w:rsidP="00D416F1"/>
    <w:p w14:paraId="41AEE96D" w14:textId="0045EA5D" w:rsidR="00D416F1" w:rsidRDefault="00D416F1" w:rsidP="00D416F1">
      <w:r>
        <w:t>SRF vill också framhålla att tillgänglighet inte enbart handlar om att innehåll produceras i tillgänglig form. Funktionerna måste också vara lätta att hitta och använda. Många användare upplever i dag att tillgänglighetstjänster är svåra att lokalisera eller aktivera. Trots detta saknas krav på användbarhet, gränssnitt eller dialog med användargrupper. SRF noterar även att rapporten särskilt lyfter fram behovet av användartester och funktionell validering för att säkerställa att tillgänglighet fungerar i praktiken. Några motsvarande krav återfinns inte i besluten. Därmed saknas också mekanismer för att säkerställa att tillgänglighetstjänsterna fungerar för de personer som är beroende av dem.</w:t>
      </w:r>
    </w:p>
    <w:p w14:paraId="6F569E8B" w14:textId="77777777" w:rsidR="00D416F1" w:rsidRDefault="00D416F1" w:rsidP="00D416F1"/>
    <w:p w14:paraId="4E629B9E" w14:textId="77777777" w:rsidR="00D416F1" w:rsidRDefault="00D416F1" w:rsidP="00D416F1">
      <w:pPr>
        <w:pStyle w:val="Rubrik3"/>
      </w:pPr>
      <w:r>
        <w:lastRenderedPageBreak/>
        <w:t>Tillsyn och efterlevnad</w:t>
      </w:r>
    </w:p>
    <w:p w14:paraId="3B58395C" w14:textId="37F8EAEB" w:rsidR="00D416F1" w:rsidRDefault="00D416F1" w:rsidP="00D416F1">
      <w:r>
        <w:t>Rapporten visar att nuvarande tillsyns- och sanktionssystem inte ger tillräckliga incitament för efterlevnad. Trots detta lämnas systemet i huvudsak oförändrat. Utan en tydligare koppling mellan krav, uppföljning och konsekvenser finns en betydande risk att redan identifierade brister består.</w:t>
      </w:r>
    </w:p>
    <w:p w14:paraId="1CA14314" w14:textId="77777777" w:rsidR="00D416F1" w:rsidRDefault="00D416F1" w:rsidP="00D416F1"/>
    <w:p w14:paraId="518CA759" w14:textId="77777777" w:rsidR="00D416F1" w:rsidRDefault="00D416F1" w:rsidP="00D416F1">
      <w:pPr>
        <w:pStyle w:val="Rubrik3"/>
      </w:pPr>
      <w:r>
        <w:t>Förhållandet till propositionen och framtida rättsläge</w:t>
      </w:r>
    </w:p>
    <w:p w14:paraId="1BFCDA6D" w14:textId="77777777" w:rsidR="00D416F1" w:rsidRDefault="00D416F1" w:rsidP="00D416F1">
      <w:r>
        <w:t>SRF anser att de remitterade besluten inte är tillräckligt anpassade till den rättsliga utvecklingen.</w:t>
      </w:r>
    </w:p>
    <w:p w14:paraId="5AF24F6A" w14:textId="77777777" w:rsidR="00D416F1" w:rsidRDefault="00D416F1" w:rsidP="00D416F1"/>
    <w:p w14:paraId="4E5439F3" w14:textId="77777777" w:rsidR="00D416F1" w:rsidRDefault="00D416F1" w:rsidP="00D416F1">
      <w:r>
        <w:t>Genom propositionen Tillgänglighetskrav för vissa medier (prop. 2025/26:59) föreslås grundlagsändringar som ska möjliggöra mer långtgående krav på tillgänglighet i grundlagsskyddade medier. Syftet är att skapa förutsättningar för ett fullständigt genomförande av EU:s tillgänglighetsdirektiv.</w:t>
      </w:r>
    </w:p>
    <w:p w14:paraId="79EAEE20" w14:textId="77777777" w:rsidR="00D416F1" w:rsidRDefault="00D416F1" w:rsidP="00D416F1"/>
    <w:p w14:paraId="103FFB84" w14:textId="77777777" w:rsidR="00D416F1" w:rsidRDefault="00D416F1" w:rsidP="00D416F1">
      <w:r>
        <w:t>Utvecklingen innebär ett tydligt skifte från fokus på förekomst av tillgänglighetstjänster till fokus på funktion, kvalitet och användbarhet. Denna inriktning ligger också i linje med slutsatserna i Mediemyndighetens egen rapport.</w:t>
      </w:r>
    </w:p>
    <w:p w14:paraId="5049A6B3" w14:textId="77777777" w:rsidR="00D416F1" w:rsidRDefault="00D416F1" w:rsidP="00D416F1"/>
    <w:p w14:paraId="01A0C170" w14:textId="77777777" w:rsidR="00D416F1" w:rsidRDefault="00D416F1" w:rsidP="00D416F1">
      <w:r>
        <w:t>Rapporten föreslår dessutom bindande handlingsplaner, förstärkt redovisning och ökad transparens kring hur tillgänglighetsarbetet bedrivs och följs upp. Även dessa delar saknar i stor utsträckning motsvarighet i de remitterade besluten, trots att de presenteras som centrala komponenter i den modell som rapporten förordar.</w:t>
      </w:r>
    </w:p>
    <w:p w14:paraId="0F2987EF" w14:textId="77777777" w:rsidR="00D416F1" w:rsidRDefault="00D416F1" w:rsidP="00D416F1"/>
    <w:p w14:paraId="47508FAD" w14:textId="77777777" w:rsidR="00D416F1" w:rsidRDefault="00D416F1" w:rsidP="00D416F1">
      <w:r>
        <w:t>Mot denna bakgrund är det problematiskt att de aktuella besluten fortsatt bygger på en modell där tillgänglighet huvudsakligen definieras genom kvantitativa nivåer utan koppling till kvalitet eller faktisk funktion.</w:t>
      </w:r>
    </w:p>
    <w:p w14:paraId="1E3C16F0" w14:textId="77777777" w:rsidR="00D416F1" w:rsidRDefault="00D416F1" w:rsidP="00D416F1"/>
    <w:p w14:paraId="539A7F07" w14:textId="77777777" w:rsidR="00551342" w:rsidRDefault="00551342" w:rsidP="00D416F1"/>
    <w:p w14:paraId="78A4B97F" w14:textId="77777777" w:rsidR="00D416F1" w:rsidRDefault="00D416F1" w:rsidP="00D416F1">
      <w:r>
        <w:lastRenderedPageBreak/>
        <w:t>SRF ser därför en tydlig risk att besluten:</w:t>
      </w:r>
    </w:p>
    <w:p w14:paraId="626D36F8" w14:textId="24B5020A" w:rsidR="00D416F1" w:rsidRDefault="00D416F1" w:rsidP="00551342">
      <w:pPr>
        <w:pStyle w:val="Punktlista"/>
      </w:pPr>
      <w:r>
        <w:t>inte är förenliga med den inriktning som följer av propositionen,</w:t>
      </w:r>
    </w:p>
    <w:p w14:paraId="12E2AF6C" w14:textId="16329505" w:rsidR="00D416F1" w:rsidRDefault="00D416F1" w:rsidP="00551342">
      <w:pPr>
        <w:pStyle w:val="Punktlista"/>
      </w:pPr>
      <w:r>
        <w:t>inte är anpassade till genomförandet av tillgänglighetsdirektivet,</w:t>
      </w:r>
    </w:p>
    <w:p w14:paraId="1D708838" w14:textId="4A312213" w:rsidR="00D416F1" w:rsidRDefault="00D416F1" w:rsidP="00551342">
      <w:pPr>
        <w:pStyle w:val="Punktlista"/>
      </w:pPr>
      <w:r>
        <w:t>riskerar att bli föråldrade redan kort efter ikraftträdandet.</w:t>
      </w:r>
    </w:p>
    <w:p w14:paraId="012698DA" w14:textId="77777777" w:rsidR="00D416F1" w:rsidRDefault="00D416F1" w:rsidP="00D416F1">
      <w:r>
        <w:t>Detta är särskilt relevant eftersom de föreslagna grundlagsändringarna planeras träda i kraft under beslutsperioden. Regelverket bör därför redan nu utformas så att det är förenligt med den utveckling som lagstiftaren pekar ut.</w:t>
      </w:r>
    </w:p>
    <w:p w14:paraId="4DD8A79B" w14:textId="77777777" w:rsidR="00D416F1" w:rsidRDefault="00D416F1" w:rsidP="00D416F1"/>
    <w:p w14:paraId="149BA07A" w14:textId="77777777" w:rsidR="00D416F1" w:rsidRDefault="00D416F1" w:rsidP="00D416F1">
      <w:pPr>
        <w:pStyle w:val="Rubrik3"/>
      </w:pPr>
      <w:r>
        <w:t>Avslutande kommentarer</w:t>
      </w:r>
    </w:p>
    <w:p w14:paraId="31682E88" w14:textId="77777777" w:rsidR="00D416F1" w:rsidRDefault="00D416F1" w:rsidP="00D416F1">
      <w:r>
        <w:t>Mediemyndigheten har i rapporten Ny beslutsmodell för tillgänglighet till tv-sändningar och beställ-tv tydligt identifierat grundläggande brister i dagens system för tillgänglighetskrav. De remitterade besluten hanterar dock inte dessa brister, utan innebär i huvudsak att den nuvarande modellen förs vidare.</w:t>
      </w:r>
    </w:p>
    <w:p w14:paraId="483E476D" w14:textId="77777777" w:rsidR="00D416F1" w:rsidRDefault="00D416F1" w:rsidP="00D416F1"/>
    <w:p w14:paraId="04CDDDF5" w14:textId="77777777" w:rsidR="00D416F1" w:rsidRDefault="00D416F1" w:rsidP="00D416F1">
      <w:r>
        <w:t>Konsekvensen blir att fokus fortsatt ligger på omfattning snarare än funktion och kvalitet. För de användare som är beroende av tillgänglighetstjänsterna är detta en avgörande brist.</w:t>
      </w:r>
    </w:p>
    <w:p w14:paraId="749DFC65" w14:textId="77777777" w:rsidR="00D416F1" w:rsidRDefault="00D416F1" w:rsidP="00D416F1"/>
    <w:p w14:paraId="68C8A0DC" w14:textId="77777777" w:rsidR="00D416F1" w:rsidRDefault="00D416F1" w:rsidP="00D416F1">
      <w:r>
        <w:t>SRF noterar särskilt att flera av de åtgärder som i rapporten beskrivs som nödvändiga för faktisk tillgänglighet – såsom kvalitetskriterier, användartester, förbättrad hittbarhet och tydligare uppföljning – inte har omsatts i de remitterade besluten.</w:t>
      </w:r>
    </w:p>
    <w:p w14:paraId="5490C6B8" w14:textId="77777777" w:rsidR="00D416F1" w:rsidRDefault="00D416F1" w:rsidP="00D416F1"/>
    <w:p w14:paraId="05C0B7EA" w14:textId="73CFF77D" w:rsidR="00D416F1" w:rsidRPr="00D416F1" w:rsidRDefault="00D416F1" w:rsidP="00D416F1">
      <w:r>
        <w:t>SRF anser därför att besluten i nuvarande form inte bör antas utan behöver omarbetas med tydligt fokus på kvalitet, användbarhet och framtida rättsliga krav.</w:t>
      </w:r>
    </w:p>
    <w:sectPr w:rsidR="00D416F1" w:rsidRPr="00D416F1" w:rsidSect="001F5561">
      <w:type w:val="continuous"/>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FF0E" w14:textId="77777777" w:rsidR="007E10C7" w:rsidRDefault="007E10C7" w:rsidP="00813C78">
      <w:r>
        <w:separator/>
      </w:r>
    </w:p>
  </w:endnote>
  <w:endnote w:type="continuationSeparator" w:id="0">
    <w:p w14:paraId="091A6223" w14:textId="77777777" w:rsidR="007E10C7" w:rsidRDefault="007E10C7"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B08" w14:textId="77777777" w:rsidR="00813C78" w:rsidRDefault="00F27E17" w:rsidP="00F27E17">
    <w:pPr>
      <w:pStyle w:val="Sidfot"/>
      <w:jc w:val="right"/>
    </w:pPr>
    <w:r w:rsidRPr="00F27E17">
      <w:t xml:space="preserve">Sida </w:t>
    </w:r>
    <w:r w:rsidR="00813C78">
      <w:fldChar w:fldCharType="begin"/>
    </w:r>
    <w:r w:rsidR="00813C78">
      <w:instrText>PAGE   \* MERGEFORMAT</w:instrText>
    </w:r>
    <w:r w:rsidR="00813C78">
      <w:fldChar w:fldCharType="separate"/>
    </w:r>
    <w:r w:rsidR="00813C78">
      <w:t>1</w:t>
    </w:r>
    <w:r w:rsidR="00813C78">
      <w:fldChar w:fldCharType="end"/>
    </w:r>
    <w:r>
      <w:t xml:space="preserve"> av</w:t>
    </w:r>
    <w:r w:rsidR="00813C78">
      <w:t xml:space="preserve"> </w:t>
    </w:r>
    <w:fldSimple w:instr=" NUMPAGES  \* Arabic  \* MERGEFORMAT ">
      <w:r w:rsidR="00813C78">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F955" w14:textId="77777777" w:rsidR="003845EA" w:rsidRPr="005A788E" w:rsidRDefault="003845EA" w:rsidP="003845EA">
    <w:pPr>
      <w:pStyle w:val="Sidfot"/>
      <w:spacing w:before="200" w:after="200"/>
    </w:pPr>
    <w:r w:rsidRPr="005A788E">
      <w:t>Synskadades Riksförbund</w:t>
    </w:r>
  </w:p>
  <w:p w14:paraId="35B61B27" w14:textId="77777777" w:rsidR="003845EA" w:rsidRPr="005A788E" w:rsidRDefault="003845EA" w:rsidP="003845EA">
    <w:pPr>
      <w:pStyle w:val="Sidfot"/>
      <w:tabs>
        <w:tab w:val="clear" w:pos="2977"/>
        <w:tab w:val="left" w:pos="3969"/>
      </w:tabs>
      <w:rPr>
        <w:b w:val="0"/>
        <w:bCs/>
      </w:rPr>
    </w:pPr>
    <w:r w:rsidRPr="005A788E">
      <w:rPr>
        <w:b w:val="0"/>
        <w:bCs/>
      </w:rPr>
      <w:t>Sandsborgsvägen 52</w:t>
    </w:r>
    <w:r w:rsidRPr="005A788E">
      <w:rPr>
        <w:b w:val="0"/>
        <w:bCs/>
      </w:rPr>
      <w:tab/>
      <w:t>08-39 90 00</w:t>
    </w:r>
    <w:r w:rsidRPr="005A788E">
      <w:rPr>
        <w:b w:val="0"/>
        <w:bCs/>
      </w:rPr>
      <w:tab/>
      <w:t>Pg: 4869-4</w:t>
    </w:r>
  </w:p>
  <w:p w14:paraId="263C88E0" w14:textId="77777777" w:rsidR="003845EA" w:rsidRPr="005A788E" w:rsidRDefault="003845EA" w:rsidP="003845EA">
    <w:pPr>
      <w:pStyle w:val="Sidfot"/>
      <w:tabs>
        <w:tab w:val="clear" w:pos="2977"/>
        <w:tab w:val="left" w:pos="3969"/>
      </w:tabs>
      <w:rPr>
        <w:b w:val="0"/>
        <w:bCs/>
      </w:rPr>
    </w:pPr>
    <w:r w:rsidRPr="007C18D4">
      <w:rPr>
        <w:b w:val="0"/>
        <w:bCs/>
      </w:rPr>
      <w:t>Box 90277, 120 24 Stockholm</w:t>
    </w:r>
    <w:r w:rsidRPr="005A788E">
      <w:rPr>
        <w:b w:val="0"/>
        <w:bCs/>
      </w:rPr>
      <w:tab/>
    </w:r>
    <w:r w:rsidRPr="007C18D4">
      <w:rPr>
        <w:b w:val="0"/>
        <w:bCs/>
      </w:rPr>
      <w:t>info@srf.nu</w:t>
    </w:r>
    <w:r w:rsidRPr="005A788E">
      <w:rPr>
        <w:b w:val="0"/>
        <w:bCs/>
      </w:rPr>
      <w:tab/>
      <w:t>Bg: 573-31 91</w:t>
    </w:r>
  </w:p>
  <w:p w14:paraId="7B5BCDD1" w14:textId="77777777" w:rsidR="003845EA" w:rsidRPr="005A788E" w:rsidRDefault="003845EA" w:rsidP="003845EA">
    <w:pPr>
      <w:pStyle w:val="Sidfot"/>
      <w:tabs>
        <w:tab w:val="clear" w:pos="2977"/>
        <w:tab w:val="left" w:pos="3969"/>
      </w:tabs>
      <w:rPr>
        <w:b w:val="0"/>
        <w:bCs/>
      </w:rPr>
    </w:pPr>
    <w:r w:rsidRPr="005A788E">
      <w:rPr>
        <w:b w:val="0"/>
        <w:bCs/>
      </w:rPr>
      <w:t>Org.nr: 802007-3436</w:t>
    </w:r>
    <w:r w:rsidRPr="005A788E">
      <w:rPr>
        <w:b w:val="0"/>
        <w:bCs/>
      </w:rPr>
      <w:tab/>
      <w:t>srf.nu</w:t>
    </w:r>
    <w:r w:rsidRPr="005A788E">
      <w:rPr>
        <w:b w:val="0"/>
        <w:bCs/>
      </w:rPr>
      <w:tab/>
      <w:t>Pg för gåvor: 90 00 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624B" w14:textId="77777777" w:rsidR="007E10C7" w:rsidRDefault="007E10C7" w:rsidP="00813C78">
      <w:r>
        <w:separator/>
      </w:r>
    </w:p>
  </w:footnote>
  <w:footnote w:type="continuationSeparator" w:id="0">
    <w:p w14:paraId="5CFFED4E" w14:textId="77777777" w:rsidR="007E10C7" w:rsidRDefault="007E10C7" w:rsidP="0081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F383" w14:textId="77777777" w:rsidR="00813C78" w:rsidRPr="00EC4BE3" w:rsidRDefault="00813C78" w:rsidP="00AA75B3">
    <w:pPr>
      <w:pStyle w:val="Sidhuvud"/>
      <w:spacing w:after="9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2" w15:restartNumberingAfterBreak="0">
    <w:nsid w:val="21531E95"/>
    <w:multiLevelType w:val="hybridMultilevel"/>
    <w:tmpl w:val="662AEA8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BB773F"/>
    <w:multiLevelType w:val="hybridMultilevel"/>
    <w:tmpl w:val="C2E0901A"/>
    <w:lvl w:ilvl="0" w:tplc="11A0A55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3D0F8D"/>
    <w:multiLevelType w:val="hybridMultilevel"/>
    <w:tmpl w:val="848A4B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BC39FD"/>
    <w:multiLevelType w:val="hybridMultilevel"/>
    <w:tmpl w:val="58C84C0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D350EA"/>
    <w:multiLevelType w:val="hybridMultilevel"/>
    <w:tmpl w:val="C494D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D25800"/>
    <w:multiLevelType w:val="hybridMultilevel"/>
    <w:tmpl w:val="F1607B08"/>
    <w:lvl w:ilvl="0" w:tplc="ACC2346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8"/>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8"/>
  </w:num>
  <w:num w:numId="16" w16cid:durableId="354160312">
    <w:abstractNumId w:val="9"/>
  </w:num>
  <w:num w:numId="17" w16cid:durableId="822235349">
    <w:abstractNumId w:val="14"/>
  </w:num>
  <w:num w:numId="18" w16cid:durableId="1097411770">
    <w:abstractNumId w:val="13"/>
  </w:num>
  <w:num w:numId="19" w16cid:durableId="1422797036">
    <w:abstractNumId w:val="15"/>
  </w:num>
  <w:num w:numId="20" w16cid:durableId="588655010">
    <w:abstractNumId w:val="16"/>
  </w:num>
  <w:num w:numId="21" w16cid:durableId="799032673">
    <w:abstractNumId w:val="17"/>
  </w:num>
  <w:num w:numId="22" w16cid:durableId="183995489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B4"/>
    <w:rsid w:val="00000EDB"/>
    <w:rsid w:val="00005105"/>
    <w:rsid w:val="00005C4C"/>
    <w:rsid w:val="00035563"/>
    <w:rsid w:val="0004219B"/>
    <w:rsid w:val="00043C87"/>
    <w:rsid w:val="00057E72"/>
    <w:rsid w:val="00093B28"/>
    <w:rsid w:val="000A4A20"/>
    <w:rsid w:val="000B1DB5"/>
    <w:rsid w:val="000B7FCF"/>
    <w:rsid w:val="000D01A8"/>
    <w:rsid w:val="000D4375"/>
    <w:rsid w:val="000E32ED"/>
    <w:rsid w:val="0010455B"/>
    <w:rsid w:val="00104F57"/>
    <w:rsid w:val="00115D80"/>
    <w:rsid w:val="00132596"/>
    <w:rsid w:val="00155D22"/>
    <w:rsid w:val="00156015"/>
    <w:rsid w:val="00164C76"/>
    <w:rsid w:val="00170050"/>
    <w:rsid w:val="00193C62"/>
    <w:rsid w:val="001A5FC2"/>
    <w:rsid w:val="001B1E8F"/>
    <w:rsid w:val="001B40E0"/>
    <w:rsid w:val="001D27C3"/>
    <w:rsid w:val="001F1063"/>
    <w:rsid w:val="001F5561"/>
    <w:rsid w:val="002109FC"/>
    <w:rsid w:val="00214146"/>
    <w:rsid w:val="00215DF1"/>
    <w:rsid w:val="002409C4"/>
    <w:rsid w:val="00290939"/>
    <w:rsid w:val="00296CE9"/>
    <w:rsid w:val="002D3705"/>
    <w:rsid w:val="002D6F77"/>
    <w:rsid w:val="002F2AE6"/>
    <w:rsid w:val="002F7EA3"/>
    <w:rsid w:val="0030643B"/>
    <w:rsid w:val="00340ED5"/>
    <w:rsid w:val="003571F1"/>
    <w:rsid w:val="00362CE7"/>
    <w:rsid w:val="00374C59"/>
    <w:rsid w:val="003845EA"/>
    <w:rsid w:val="00392A8C"/>
    <w:rsid w:val="0039506D"/>
    <w:rsid w:val="0039558E"/>
    <w:rsid w:val="003B06DA"/>
    <w:rsid w:val="003B2D80"/>
    <w:rsid w:val="003D7C03"/>
    <w:rsid w:val="003E3D2A"/>
    <w:rsid w:val="003E66DA"/>
    <w:rsid w:val="003F1D59"/>
    <w:rsid w:val="00400E60"/>
    <w:rsid w:val="004075A8"/>
    <w:rsid w:val="004100AF"/>
    <w:rsid w:val="00411BEE"/>
    <w:rsid w:val="004216EA"/>
    <w:rsid w:val="00423F0E"/>
    <w:rsid w:val="0042445E"/>
    <w:rsid w:val="004427A1"/>
    <w:rsid w:val="0045790E"/>
    <w:rsid w:val="00465805"/>
    <w:rsid w:val="0047256F"/>
    <w:rsid w:val="004955BF"/>
    <w:rsid w:val="004B0468"/>
    <w:rsid w:val="004B0F2F"/>
    <w:rsid w:val="004C2DA2"/>
    <w:rsid w:val="004D1DC2"/>
    <w:rsid w:val="004D5D89"/>
    <w:rsid w:val="004F67CF"/>
    <w:rsid w:val="0050505E"/>
    <w:rsid w:val="00512CCF"/>
    <w:rsid w:val="00523C37"/>
    <w:rsid w:val="00530023"/>
    <w:rsid w:val="00532A26"/>
    <w:rsid w:val="00544E74"/>
    <w:rsid w:val="00551342"/>
    <w:rsid w:val="00560BC4"/>
    <w:rsid w:val="00565454"/>
    <w:rsid w:val="00565519"/>
    <w:rsid w:val="00571BFC"/>
    <w:rsid w:val="00577867"/>
    <w:rsid w:val="00582E95"/>
    <w:rsid w:val="00592819"/>
    <w:rsid w:val="00597E3C"/>
    <w:rsid w:val="005A1062"/>
    <w:rsid w:val="005A14DE"/>
    <w:rsid w:val="005A788E"/>
    <w:rsid w:val="005B20C0"/>
    <w:rsid w:val="005C1F60"/>
    <w:rsid w:val="005D7B89"/>
    <w:rsid w:val="00601247"/>
    <w:rsid w:val="0063002B"/>
    <w:rsid w:val="00651E32"/>
    <w:rsid w:val="00670C0C"/>
    <w:rsid w:val="00671897"/>
    <w:rsid w:val="006877D9"/>
    <w:rsid w:val="0069113E"/>
    <w:rsid w:val="006A530C"/>
    <w:rsid w:val="00725F0B"/>
    <w:rsid w:val="00737841"/>
    <w:rsid w:val="00752C45"/>
    <w:rsid w:val="00772EB0"/>
    <w:rsid w:val="007E10C7"/>
    <w:rsid w:val="007E527F"/>
    <w:rsid w:val="007F19CC"/>
    <w:rsid w:val="0080294E"/>
    <w:rsid w:val="008123E2"/>
    <w:rsid w:val="00813C78"/>
    <w:rsid w:val="00813D92"/>
    <w:rsid w:val="008351D1"/>
    <w:rsid w:val="008409B1"/>
    <w:rsid w:val="00850F80"/>
    <w:rsid w:val="0085734F"/>
    <w:rsid w:val="00860892"/>
    <w:rsid w:val="00862167"/>
    <w:rsid w:val="00881031"/>
    <w:rsid w:val="008A214B"/>
    <w:rsid w:val="008A5A7C"/>
    <w:rsid w:val="008C4E7A"/>
    <w:rsid w:val="008C6F7C"/>
    <w:rsid w:val="008E09F4"/>
    <w:rsid w:val="008F1CF0"/>
    <w:rsid w:val="008F5CB9"/>
    <w:rsid w:val="00902B0F"/>
    <w:rsid w:val="00907973"/>
    <w:rsid w:val="00920B64"/>
    <w:rsid w:val="00934F42"/>
    <w:rsid w:val="009551BF"/>
    <w:rsid w:val="00965CD2"/>
    <w:rsid w:val="009C460A"/>
    <w:rsid w:val="00A06756"/>
    <w:rsid w:val="00A26F25"/>
    <w:rsid w:val="00A33CE7"/>
    <w:rsid w:val="00A37728"/>
    <w:rsid w:val="00A41C1F"/>
    <w:rsid w:val="00A51F48"/>
    <w:rsid w:val="00A71B7C"/>
    <w:rsid w:val="00A9428A"/>
    <w:rsid w:val="00AA75B3"/>
    <w:rsid w:val="00AB4016"/>
    <w:rsid w:val="00AB49BF"/>
    <w:rsid w:val="00AB6942"/>
    <w:rsid w:val="00B16338"/>
    <w:rsid w:val="00B32651"/>
    <w:rsid w:val="00B723E3"/>
    <w:rsid w:val="00B87F7E"/>
    <w:rsid w:val="00B910D6"/>
    <w:rsid w:val="00B914BF"/>
    <w:rsid w:val="00B917FA"/>
    <w:rsid w:val="00B9642E"/>
    <w:rsid w:val="00BD323A"/>
    <w:rsid w:val="00BE4EAF"/>
    <w:rsid w:val="00BF1E12"/>
    <w:rsid w:val="00C322AD"/>
    <w:rsid w:val="00C37890"/>
    <w:rsid w:val="00C4305A"/>
    <w:rsid w:val="00C73623"/>
    <w:rsid w:val="00C9413B"/>
    <w:rsid w:val="00CA0FFA"/>
    <w:rsid w:val="00CB1DF5"/>
    <w:rsid w:val="00CE32A2"/>
    <w:rsid w:val="00D30590"/>
    <w:rsid w:val="00D3299A"/>
    <w:rsid w:val="00D416F1"/>
    <w:rsid w:val="00D429A7"/>
    <w:rsid w:val="00D671C1"/>
    <w:rsid w:val="00D77C15"/>
    <w:rsid w:val="00D90537"/>
    <w:rsid w:val="00D95B6F"/>
    <w:rsid w:val="00DB1CF1"/>
    <w:rsid w:val="00DB473C"/>
    <w:rsid w:val="00DB5618"/>
    <w:rsid w:val="00DB5FE8"/>
    <w:rsid w:val="00DC0099"/>
    <w:rsid w:val="00DC03C5"/>
    <w:rsid w:val="00DF7EC2"/>
    <w:rsid w:val="00E0454E"/>
    <w:rsid w:val="00E122D2"/>
    <w:rsid w:val="00E218B4"/>
    <w:rsid w:val="00E61AE1"/>
    <w:rsid w:val="00E8286A"/>
    <w:rsid w:val="00E84ACF"/>
    <w:rsid w:val="00E87493"/>
    <w:rsid w:val="00EB1D14"/>
    <w:rsid w:val="00EB4A18"/>
    <w:rsid w:val="00EC4BE3"/>
    <w:rsid w:val="00ED239B"/>
    <w:rsid w:val="00ED32B8"/>
    <w:rsid w:val="00EF38C9"/>
    <w:rsid w:val="00F20A23"/>
    <w:rsid w:val="00F24E39"/>
    <w:rsid w:val="00F27E17"/>
    <w:rsid w:val="00F35BDC"/>
    <w:rsid w:val="00F43B96"/>
    <w:rsid w:val="00F5005A"/>
    <w:rsid w:val="00F52883"/>
    <w:rsid w:val="00F73CED"/>
    <w:rsid w:val="00F82B78"/>
    <w:rsid w:val="00F93FC3"/>
    <w:rsid w:val="00FA013F"/>
    <w:rsid w:val="00FA2A7E"/>
    <w:rsid w:val="00FA5278"/>
    <w:rsid w:val="00FA68D7"/>
    <w:rsid w:val="00FA7353"/>
    <w:rsid w:val="00FC7CB1"/>
    <w:rsid w:val="00FF3B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720D0"/>
  <w15:chartTrackingRefBased/>
  <w15:docId w15:val="{8411E416-A9E8-4175-844C-B036DB0E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42"/>
  </w:style>
  <w:style w:type="paragraph" w:styleId="Rubrik1">
    <w:name w:val="heading 1"/>
    <w:basedOn w:val="Normal"/>
    <w:next w:val="Normal"/>
    <w:link w:val="Rubrik1Char"/>
    <w:uiPriority w:val="9"/>
    <w:qFormat/>
    <w:rsid w:val="00934F42"/>
    <w:pPr>
      <w:keepNext/>
      <w:keepLines/>
      <w:spacing w:line="240" w:lineRule="auto"/>
      <w:outlineLvl w:val="0"/>
    </w:pPr>
    <w:rPr>
      <w:rFonts w:asciiTheme="majorHAnsi" w:eastAsiaTheme="majorEastAsia" w:hAnsiTheme="majorHAnsi" w:cstheme="majorBidi"/>
      <w:b/>
      <w:kern w:val="2"/>
      <w:sz w:val="52"/>
      <w:szCs w:val="32"/>
    </w:rPr>
  </w:style>
  <w:style w:type="paragraph" w:styleId="Rubrik2">
    <w:name w:val="heading 2"/>
    <w:basedOn w:val="Rubrik1"/>
    <w:next w:val="Normal"/>
    <w:link w:val="Rubrik2Char"/>
    <w:uiPriority w:val="9"/>
    <w:qFormat/>
    <w:rsid w:val="0050505E"/>
    <w:pPr>
      <w:outlineLvl w:val="1"/>
    </w:pPr>
    <w:rPr>
      <w:bCs/>
      <w:sz w:val="44"/>
      <w:szCs w:val="26"/>
    </w:rPr>
  </w:style>
  <w:style w:type="paragraph" w:styleId="Rubrik3">
    <w:name w:val="heading 3"/>
    <w:basedOn w:val="Rubrik2"/>
    <w:next w:val="Normal"/>
    <w:link w:val="Rubrik3Char"/>
    <w:uiPriority w:val="9"/>
    <w:qFormat/>
    <w:rsid w:val="00465805"/>
    <w:pPr>
      <w:outlineLvl w:val="2"/>
    </w:pPr>
    <w:rPr>
      <w:sz w:val="36"/>
      <w:szCs w:val="24"/>
    </w:rPr>
  </w:style>
  <w:style w:type="paragraph" w:styleId="Rubrik4">
    <w:name w:val="heading 4"/>
    <w:basedOn w:val="Rubrik3"/>
    <w:next w:val="Normal"/>
    <w:link w:val="Rubrik4Char"/>
    <w:uiPriority w:val="9"/>
    <w:qFormat/>
    <w:rsid w:val="0050505E"/>
    <w:pPr>
      <w:outlineLvl w:val="3"/>
    </w:pPr>
    <w:rPr>
      <w:rFonts w:cstheme="minorHAnsi"/>
      <w:b w:val="0"/>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AB4016"/>
    <w:pPr>
      <w:numPr>
        <w:ilvl w:val="1"/>
      </w:numPr>
      <w:spacing w:line="560" w:lineRule="atLeast"/>
    </w:pPr>
    <w:rPr>
      <w:rFonts w:asciiTheme="majorHAnsi" w:eastAsiaTheme="minorEastAsia" w:hAnsiTheme="majorHAnsi"/>
      <w:sz w:val="56"/>
    </w:rPr>
  </w:style>
  <w:style w:type="character" w:customStyle="1" w:styleId="UnderrubrikChar">
    <w:name w:val="Underrubrik Char"/>
    <w:basedOn w:val="Standardstycketeckensnitt"/>
    <w:link w:val="Underrubrik"/>
    <w:uiPriority w:val="11"/>
    <w:semiHidden/>
    <w:rsid w:val="00AB4016"/>
    <w:rPr>
      <w:rFonts w:asciiTheme="majorHAnsi" w:eastAsiaTheme="minorEastAsia" w:hAnsiTheme="majorHAnsi"/>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50505E"/>
    <w:rPr>
      <w:rFonts w:asciiTheme="majorHAnsi" w:eastAsiaTheme="majorEastAsia" w:hAnsiTheme="majorHAnsi" w:cstheme="minorHAnsi"/>
      <w:iCs/>
      <w:color w:val="000000" w:themeColor="text1"/>
      <w:kern w:val="2"/>
      <w:sz w:val="32"/>
    </w:rPr>
  </w:style>
  <w:style w:type="character" w:customStyle="1" w:styleId="Rubrik3Char">
    <w:name w:val="Rubrik 3 Char"/>
    <w:basedOn w:val="Standardstycketeckensnitt"/>
    <w:link w:val="Rubrik3"/>
    <w:uiPriority w:val="9"/>
    <w:rsid w:val="00465805"/>
    <w:rPr>
      <w:rFonts w:asciiTheme="majorHAnsi" w:eastAsiaTheme="majorEastAsia" w:hAnsiTheme="majorHAnsi" w:cstheme="majorBidi"/>
      <w:bCs/>
      <w:kern w:val="2"/>
      <w:sz w:val="36"/>
      <w:szCs w:val="24"/>
    </w:rPr>
  </w:style>
  <w:style w:type="character" w:customStyle="1" w:styleId="Rubrik2Char">
    <w:name w:val="Rubrik 2 Char"/>
    <w:basedOn w:val="Standardstycketeckensnitt"/>
    <w:link w:val="Rubrik2"/>
    <w:uiPriority w:val="9"/>
    <w:rsid w:val="0050505E"/>
    <w:rPr>
      <w:rFonts w:asciiTheme="majorHAnsi" w:eastAsiaTheme="majorEastAsia" w:hAnsiTheme="majorHAnsi" w:cstheme="majorBidi"/>
      <w:b/>
      <w:bCs/>
      <w:kern w:val="2"/>
      <w:sz w:val="44"/>
      <w:szCs w:val="26"/>
    </w:rPr>
  </w:style>
  <w:style w:type="character" w:customStyle="1" w:styleId="Rubrik1Char">
    <w:name w:val="Rubrik 1 Char"/>
    <w:basedOn w:val="Standardstycketeckensnitt"/>
    <w:link w:val="Rubrik1"/>
    <w:uiPriority w:val="9"/>
    <w:rsid w:val="00934F42"/>
    <w:rPr>
      <w:rFonts w:asciiTheme="majorHAnsi" w:eastAsiaTheme="majorEastAsia" w:hAnsiTheme="majorHAnsi" w:cstheme="majorBidi"/>
      <w:b/>
      <w:kern w:val="2"/>
      <w:sz w:val="52"/>
      <w:szCs w:val="32"/>
    </w:rPr>
  </w:style>
  <w:style w:type="paragraph" w:styleId="Innehllsfrteckningsrubrik">
    <w:name w:val="TOC Heading"/>
    <w:basedOn w:val="Rubrik1"/>
    <w:next w:val="Normal"/>
    <w:uiPriority w:val="39"/>
    <w:semiHidden/>
    <w:rsid w:val="00F73CED"/>
  </w:style>
  <w:style w:type="paragraph" w:styleId="Rubrik">
    <w:name w:val="Title"/>
    <w:basedOn w:val="Normal"/>
    <w:next w:val="Normal"/>
    <w:link w:val="RubrikChar"/>
    <w:uiPriority w:val="10"/>
    <w:semiHidden/>
    <w:rsid w:val="00AB4016"/>
    <w:pPr>
      <w:contextualSpacing/>
      <w:outlineLvl w:val="0"/>
    </w:pPr>
    <w:rPr>
      <w:rFonts w:asciiTheme="majorHAnsi" w:eastAsiaTheme="majorEastAsia" w:hAnsiTheme="majorHAnsi" w:cstheme="majorBidi"/>
      <w:b/>
      <w:sz w:val="100"/>
      <w:szCs w:val="56"/>
    </w:rPr>
  </w:style>
  <w:style w:type="character" w:customStyle="1" w:styleId="RubrikChar">
    <w:name w:val="Rubrik Char"/>
    <w:basedOn w:val="Standardstycketeckensnitt"/>
    <w:link w:val="Rubrik"/>
    <w:uiPriority w:val="10"/>
    <w:semiHidden/>
    <w:rsid w:val="00AB4016"/>
    <w:rPr>
      <w:rFonts w:asciiTheme="majorHAnsi" w:eastAsiaTheme="majorEastAsia" w:hAnsiTheme="majorHAnsi" w:cstheme="majorBidi"/>
      <w:b/>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4F67CF"/>
    <w:pPr>
      <w:numPr>
        <w:numId w:val="1"/>
      </w:numPr>
      <w:spacing w:before="240" w:after="240"/>
      <w:ind w:left="714" w:hanging="357"/>
    </w:pPr>
  </w:style>
  <w:style w:type="paragraph" w:styleId="Punktlista2">
    <w:name w:val="List Bullet 2"/>
    <w:basedOn w:val="Normal"/>
    <w:uiPriority w:val="99"/>
    <w:rsid w:val="004F67CF"/>
    <w:pPr>
      <w:numPr>
        <w:ilvl w:val="1"/>
        <w:numId w:val="1"/>
      </w:numPr>
      <w:spacing w:before="240" w:after="240"/>
      <w:ind w:left="1071" w:hanging="357"/>
    </w:pPr>
  </w:style>
  <w:style w:type="paragraph" w:styleId="Punktlista3">
    <w:name w:val="List Bullet 3"/>
    <w:basedOn w:val="Normal"/>
    <w:uiPriority w:val="99"/>
    <w:rsid w:val="004F67CF"/>
    <w:pPr>
      <w:numPr>
        <w:ilvl w:val="2"/>
        <w:numId w:val="1"/>
      </w:numPr>
      <w:spacing w:before="240" w:after="24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4F67CF"/>
    <w:pPr>
      <w:numPr>
        <w:numId w:val="15"/>
      </w:numPr>
      <w:spacing w:before="240" w:after="240"/>
      <w:ind w:left="714" w:hanging="357"/>
    </w:pPr>
  </w:style>
  <w:style w:type="paragraph" w:styleId="Numreradlista2">
    <w:name w:val="List Number 2"/>
    <w:basedOn w:val="Normal"/>
    <w:uiPriority w:val="99"/>
    <w:rsid w:val="004F67CF"/>
    <w:pPr>
      <w:numPr>
        <w:ilvl w:val="1"/>
        <w:numId w:val="15"/>
      </w:numPr>
      <w:spacing w:before="240" w:after="240"/>
      <w:ind w:left="1071" w:hanging="357"/>
    </w:pPr>
  </w:style>
  <w:style w:type="paragraph" w:styleId="Numreradlista3">
    <w:name w:val="List Number 3"/>
    <w:basedOn w:val="Normal"/>
    <w:uiPriority w:val="99"/>
    <w:rsid w:val="004F67CF"/>
    <w:pPr>
      <w:numPr>
        <w:ilvl w:val="2"/>
        <w:numId w:val="15"/>
      </w:numPr>
      <w:spacing w:before="240" w:after="24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semiHidden/>
    <w:rsid w:val="00AB4016"/>
    <w:pPr>
      <w:tabs>
        <w:tab w:val="right" w:leader="dot" w:pos="9062"/>
      </w:tabs>
      <w:spacing w:before="120"/>
    </w:pPr>
    <w:rPr>
      <w:rFonts w:asciiTheme="majorHAnsi" w:hAnsiTheme="majorHAnsi"/>
      <w:b/>
      <w:sz w:val="36"/>
    </w:rPr>
  </w:style>
  <w:style w:type="paragraph" w:styleId="Innehll2">
    <w:name w:val="toc 2"/>
    <w:basedOn w:val="Normal"/>
    <w:next w:val="Normal"/>
    <w:autoRedefine/>
    <w:uiPriority w:val="39"/>
    <w:semiHidden/>
    <w:rsid w:val="00AB4016"/>
    <w:pPr>
      <w:spacing w:before="40"/>
      <w:ind w:left="284"/>
    </w:pPr>
    <w:rPr>
      <w:rFonts w:asciiTheme="majorHAnsi" w:hAnsiTheme="majorHAnsi"/>
      <w:b/>
    </w:rPr>
  </w:style>
  <w:style w:type="paragraph" w:styleId="Innehll3">
    <w:name w:val="toc 3"/>
    <w:basedOn w:val="Normal"/>
    <w:next w:val="Normal"/>
    <w:autoRedefine/>
    <w:uiPriority w:val="39"/>
    <w:semiHidden/>
    <w:rsid w:val="00AB4016"/>
    <w:pPr>
      <w:ind w:left="567"/>
    </w:pPr>
    <w:rPr>
      <w:rFonts w:asciiTheme="majorHAnsi" w:hAnsiTheme="majorHAnsi"/>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semiHidden/>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1B1E8F"/>
  </w:style>
  <w:style w:type="paragraph" w:styleId="Sidfot">
    <w:name w:val="footer"/>
    <w:basedOn w:val="Normal"/>
    <w:link w:val="SidfotChar"/>
    <w:uiPriority w:val="99"/>
    <w:rsid w:val="004075A8"/>
    <w:pPr>
      <w:tabs>
        <w:tab w:val="left" w:pos="2977"/>
        <w:tab w:val="left" w:pos="6804"/>
      </w:tabs>
      <w:spacing w:line="240" w:lineRule="auto"/>
    </w:pPr>
    <w:rPr>
      <w:b/>
      <w:color w:val="000000" w:themeColor="text1"/>
      <w:sz w:val="20"/>
    </w:rPr>
  </w:style>
  <w:style w:type="character" w:customStyle="1" w:styleId="SidfotChar">
    <w:name w:val="Sidfot Char"/>
    <w:basedOn w:val="Standardstycketeckensnitt"/>
    <w:link w:val="Sidfot"/>
    <w:uiPriority w:val="99"/>
    <w:rsid w:val="004075A8"/>
    <w:rPr>
      <w:b/>
      <w:color w:val="000000" w:themeColor="tex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rsid w:val="003D7C03"/>
    <w:pPr>
      <w:spacing w:after="280"/>
    </w:pPr>
    <w:rPr>
      <w:b/>
    </w:rPr>
  </w:style>
  <w:style w:type="paragraph" w:styleId="Adress-brev">
    <w:name w:val="envelope address"/>
    <w:basedOn w:val="Ingetavstnd"/>
    <w:uiPriority w:val="99"/>
    <w:rsid w:val="00544E74"/>
    <w:pPr>
      <w:ind w:left="5471" w:right="-737"/>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AB4016"/>
    <w:pPr>
      <w:spacing w:after="200"/>
    </w:pPr>
    <w:rPr>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Bl">
    <w:name w:val="SRF Tabell Blå"/>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table" w:customStyle="1" w:styleId="SRFTabellGrn">
    <w:name w:val="SRF Tabell Grön"/>
    <w:basedOn w:val="Normaltabell"/>
    <w:uiPriority w:val="99"/>
    <w:rsid w:val="00F20A23"/>
    <w:tblPr>
      <w:tblStyleRowBandSize w:val="1"/>
      <w:tbl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blBorders>
      <w:tblCellMar>
        <w:top w:w="85" w:type="dxa"/>
        <w:bottom w:w="85" w:type="dxa"/>
      </w:tblCellMar>
    </w:tblPr>
    <w:tblStylePr w:type="firstRow">
      <w:rPr>
        <w:b w:val="0"/>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l2br w:val="nil"/>
          <w:tr2bl w:val="nil"/>
        </w:tcBorders>
        <w:shd w:val="clear" w:color="auto" w:fill="787522" w:themeFill="accent4"/>
      </w:tcPr>
    </w:tblStylePr>
    <w:tblStylePr w:type="lastRow">
      <w:tblPr/>
      <w:tcPr>
        <w:tcBorders>
          <w:top w:val="single" w:sz="18"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tcPr>
    </w:tblStylePr>
    <w:tblStylePr w:type="band1Horz">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shd w:val="clear" w:color="auto" w:fill="EFEDC7" w:themeFill="accent4" w:themeFillTint="33"/>
      </w:tcPr>
    </w:tblStylePr>
  </w:style>
  <w:style w:type="table" w:customStyle="1" w:styleId="SRFTabellGul">
    <w:name w:val="SRF Tabell Gul"/>
    <w:basedOn w:val="Normaltabell"/>
    <w:uiPriority w:val="99"/>
    <w:rsid w:val="00F20A23"/>
    <w:tblPr>
      <w:tblStyleRowBandSize w:val="1"/>
      <w:tbl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blBorders>
      <w:tblCellMar>
        <w:top w:w="85" w:type="dxa"/>
        <w:bottom w:w="85" w:type="dxa"/>
      </w:tblCellMar>
    </w:tblPr>
    <w:tblStylePr w:type="firstRow">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l2br w:val="nil"/>
          <w:tr2bl w:val="nil"/>
        </w:tcBorders>
        <w:shd w:val="clear" w:color="auto" w:fill="FAAF3F" w:themeFill="accent3"/>
      </w:tcPr>
    </w:tblStylePr>
    <w:tblStylePr w:type="lastRow">
      <w:tblPr/>
      <w:tcPr>
        <w:tcBorders>
          <w:top w:val="single" w:sz="18"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tcPr>
    </w:tblStylePr>
    <w:tblStylePr w:type="band1Horz">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shd w:val="clear" w:color="auto" w:fill="FEEED8" w:themeFill="accent3" w:themeFillTint="33"/>
      </w:tcPr>
    </w:tblStylePr>
  </w:style>
  <w:style w:type="table" w:customStyle="1" w:styleId="SRFTabellLjusgrn">
    <w:name w:val="SRF Tabell Ljusgrön"/>
    <w:basedOn w:val="Normaltabell"/>
    <w:uiPriority w:val="99"/>
    <w:rsid w:val="00F20A23"/>
    <w:tblPr>
      <w:tblStyleRowBandSize w:val="1"/>
      <w:tbl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blBorders>
      <w:tblCellMar>
        <w:top w:w="85" w:type="dxa"/>
        <w:bottom w:w="85" w:type="dxa"/>
      </w:tblCellMar>
    </w:tblPr>
    <w:tblStylePr w:type="firstRow">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l2br w:val="nil"/>
          <w:tr2bl w:val="nil"/>
        </w:tcBorders>
        <w:shd w:val="clear" w:color="auto" w:fill="A39B7E" w:themeFill="accent6"/>
      </w:tcPr>
    </w:tblStylePr>
    <w:tblStylePr w:type="lastRow">
      <w:tblPr/>
      <w:tcPr>
        <w:tcBorders>
          <w:top w:val="single" w:sz="18"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tcPr>
    </w:tblStylePr>
    <w:tblStylePr w:type="band1Horz">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shd w:val="clear" w:color="auto" w:fill="ECEAE5" w:themeFill="accent6" w:themeFillTint="33"/>
      </w:tcPr>
    </w:tblStylePr>
  </w:style>
  <w:style w:type="table" w:customStyle="1" w:styleId="SRFTabellRosa">
    <w:name w:val="SRF Tabell Rosa"/>
    <w:basedOn w:val="Normaltabell"/>
    <w:uiPriority w:val="99"/>
    <w:rsid w:val="00F20A23"/>
    <w:tblPr>
      <w:tblStyleRowBandSize w:val="1"/>
      <w:tbl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blBorders>
      <w:tblCellMar>
        <w:top w:w="85" w:type="dxa"/>
        <w:bottom w:w="85" w:type="dxa"/>
      </w:tblCellMar>
    </w:tblPr>
    <w:tblStylePr w:type="firstRow">
      <w:rPr>
        <w:b/>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l2br w:val="nil"/>
          <w:tr2bl w:val="nil"/>
        </w:tcBorders>
        <w:shd w:val="clear" w:color="auto" w:fill="E95485" w:themeFill="accent2"/>
      </w:tcPr>
    </w:tblStylePr>
    <w:tblStylePr w:type="lastRow">
      <w:tblPr/>
      <w:tcPr>
        <w:tcBorders>
          <w:top w:val="single" w:sz="18"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tcPr>
    </w:tblStylePr>
    <w:tblStylePr w:type="band1Horz">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shd w:val="clear" w:color="auto" w:fill="FADCE6" w:themeFill="accent2" w:themeFillTint="33"/>
      </w:tcPr>
    </w:tblStylePr>
  </w:style>
  <w:style w:type="paragraph" w:styleId="Liststycke">
    <w:name w:val="List Paragraph"/>
    <w:basedOn w:val="Normal"/>
    <w:uiPriority w:val="34"/>
    <w:semiHidden/>
    <w:qFormat/>
    <w:rsid w:val="002D6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rfriks.sharepoint.com/sites/SRF-dokument/Officemallar/Rikskansliet/Remissv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1A09C8D7749DAB33D0626B9F483AF"/>
        <w:category>
          <w:name w:val="Allmänt"/>
          <w:gallery w:val="placeholder"/>
        </w:category>
        <w:types>
          <w:type w:val="bbPlcHdr"/>
        </w:types>
        <w:behaviors>
          <w:behavior w:val="content"/>
        </w:behaviors>
        <w:guid w:val="{3B6192C7-BA51-42C7-BF2C-3AA158F044B8}"/>
      </w:docPartPr>
      <w:docPartBody>
        <w:p w:rsidR="004C13EB" w:rsidRDefault="004C13EB">
          <w:pPr>
            <w:pStyle w:val="CEC1A09C8D7749DAB33D0626B9F483AF"/>
          </w:pPr>
          <w:r>
            <w:rPr>
              <w:rStyle w:val="Platshllartext"/>
            </w:rPr>
            <w:t>A</w:t>
          </w:r>
          <w:r w:rsidRPr="00A04684">
            <w:rPr>
              <w:rStyle w:val="Platshllartext"/>
            </w:rPr>
            <w:t>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EB"/>
    <w:rsid w:val="00100653"/>
    <w:rsid w:val="004C13EB"/>
    <w:rsid w:val="00CA0FFA"/>
    <w:rsid w:val="00FF3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6E6E6E"/>
      <w:bdr w:val="none" w:sz="0" w:space="0" w:color="auto"/>
      <w:shd w:val="clear" w:color="auto" w:fill="F2F2F2"/>
    </w:rPr>
  </w:style>
  <w:style w:type="paragraph" w:customStyle="1" w:styleId="CEC1A09C8D7749DAB33D0626B9F483AF">
    <w:name w:val="CEC1A09C8D7749DAB33D0626B9F48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SRF 2026">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099B733748F3349B537C0B4190CE25F" ma:contentTypeVersion="5" ma:contentTypeDescription="Skapa ett nytt dokument." ma:contentTypeScope="" ma:versionID="2962d39283b6f27e3df29651c0321eb0">
  <xsd:schema xmlns:xsd="http://www.w3.org/2001/XMLSchema" xmlns:xs="http://www.w3.org/2001/XMLSchema" xmlns:p="http://schemas.microsoft.com/office/2006/metadata/properties" xmlns:ns2="723f9c67-b07e-4d41-b2d1-72c5c6e6f7a7" xmlns:ns3="4b217c19-c3bf-4cf0-ac1f-f8b48b7fa21c" targetNamespace="http://schemas.microsoft.com/office/2006/metadata/properties" ma:root="true" ma:fieldsID="1fbae8bc0206b61f11265d0c9a03a7a8" ns2:_="" ns3:_="">
    <xsd:import namespace="723f9c67-b07e-4d41-b2d1-72c5c6e6f7a7"/>
    <xsd:import namespace="4b217c19-c3bf-4cf0-ac1f-f8b48b7fa2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c67-b07e-4d41-b2d1-72c5c6e6f7a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17c19-c3bf-4cf0-ac1f-f8b48b7fa2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D88D78D0-6EA1-49F1-B16C-9B06DFC9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c67-b07e-4d41-b2d1-72c5c6e6f7a7"/>
    <ds:schemaRef ds:uri="4b217c19-c3bf-4cf0-ac1f-f8b48b7fa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4.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Remissvar</Template>
  <TotalTime>0</TotalTime>
  <Pages>5</Pages>
  <Words>1151</Words>
  <Characters>6104</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Abrahamsson</dc:creator>
  <cp:keywords/>
  <dc:description/>
  <cp:lastModifiedBy>Amanda Schulin</cp:lastModifiedBy>
  <cp:revision>2</cp:revision>
  <dcterms:created xsi:type="dcterms:W3CDTF">2026-06-17T07:44:00Z</dcterms:created>
  <dcterms:modified xsi:type="dcterms:W3CDTF">2026-06-17T07:44:00Z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0x010100C099B733748F3349B537C0B4190CE25F</vt:lpwstr>
  </property>
  <property fmtid="{D5CDD505-2E9C-101B-9397-08002B2CF9AE}" pid="3" name="MediaServiceImageTags">
    <vt:lpwstr/>
  </property>
</Properties>
</file>